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CA" w:rsidRPr="007679CA" w:rsidRDefault="007679CA" w:rsidP="007679CA">
      <w:pPr>
        <w:bidi/>
        <w:jc w:val="center"/>
        <w:rPr>
          <w:b/>
          <w:bCs/>
          <w:sz w:val="44"/>
          <w:szCs w:val="44"/>
          <w:rtl/>
          <w:lang w:bidi="ar-EG"/>
        </w:rPr>
      </w:pPr>
      <w:r w:rsidRPr="007679CA">
        <w:rPr>
          <w:rFonts w:hint="cs"/>
          <w:b/>
          <w:bCs/>
          <w:sz w:val="44"/>
          <w:szCs w:val="44"/>
          <w:rtl/>
          <w:lang w:bidi="ar-EG"/>
        </w:rPr>
        <w:t>زمن كتابة قوانين الرسل</w:t>
      </w:r>
    </w:p>
    <w:p w:rsidR="007758E3" w:rsidRDefault="003D4644" w:rsidP="007679CA">
      <w:pPr>
        <w:bidi/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يدّعى البعض أن قوانين مجمع نيقية سابقة ل</w:t>
      </w:r>
      <w:r w:rsidR="009E15B5">
        <w:rPr>
          <w:rFonts w:hint="cs"/>
          <w:sz w:val="32"/>
          <w:szCs w:val="32"/>
          <w:rtl/>
          <w:lang w:bidi="ar-EG"/>
        </w:rPr>
        <w:t>دستور و</w:t>
      </w:r>
      <w:r>
        <w:rPr>
          <w:rFonts w:hint="cs"/>
          <w:sz w:val="32"/>
          <w:szCs w:val="32"/>
          <w:rtl/>
          <w:lang w:bidi="ar-EG"/>
        </w:rPr>
        <w:t>قوانين الرسل وللرد نقول:</w:t>
      </w:r>
    </w:p>
    <w:p w:rsidR="00316E1A" w:rsidRPr="00B64874" w:rsidRDefault="007F4B0E" w:rsidP="00316E1A">
      <w:pPr>
        <w:pStyle w:val="ListParagraph"/>
        <w:numPr>
          <w:ilvl w:val="0"/>
          <w:numId w:val="3"/>
        </w:numPr>
        <w:bidi/>
        <w:ind w:left="0"/>
        <w:jc w:val="both"/>
        <w:rPr>
          <w:b/>
          <w:bCs/>
          <w:sz w:val="32"/>
          <w:szCs w:val="32"/>
          <w:lang w:bidi="ar-EG"/>
        </w:rPr>
      </w:pPr>
      <w:r w:rsidRPr="00B64874">
        <w:rPr>
          <w:rFonts w:hint="cs"/>
          <w:b/>
          <w:bCs/>
          <w:sz w:val="32"/>
          <w:szCs w:val="32"/>
          <w:rtl/>
          <w:lang w:bidi="ar-EG"/>
        </w:rPr>
        <w:t xml:space="preserve">يقول المؤرخ </w:t>
      </w:r>
      <w:r w:rsidR="000E1C39" w:rsidRPr="00B64874">
        <w:rPr>
          <w:rFonts w:hint="cs"/>
          <w:b/>
          <w:bCs/>
          <w:sz w:val="32"/>
          <w:szCs w:val="32"/>
          <w:rtl/>
          <w:lang w:bidi="ar-EG"/>
        </w:rPr>
        <w:t xml:space="preserve">الشهير </w:t>
      </w:r>
      <w:r w:rsidRPr="00B64874">
        <w:rPr>
          <w:rFonts w:hint="cs"/>
          <w:b/>
          <w:bCs/>
          <w:sz w:val="32"/>
          <w:szCs w:val="32"/>
          <w:rtl/>
          <w:lang w:bidi="ar-EG"/>
        </w:rPr>
        <w:t>هيفيلى</w:t>
      </w:r>
      <w:r w:rsidR="00316E1A" w:rsidRPr="00B64874">
        <w:rPr>
          <w:rFonts w:hint="cs"/>
          <w:b/>
          <w:bCs/>
          <w:sz w:val="32"/>
          <w:szCs w:val="32"/>
          <w:rtl/>
          <w:lang w:bidi="ar-EG"/>
        </w:rPr>
        <w:t>:</w:t>
      </w:r>
    </w:p>
    <w:p w:rsidR="00316E1A" w:rsidRPr="009E15B5" w:rsidRDefault="00316E1A" w:rsidP="000E1C39">
      <w:pPr>
        <w:pStyle w:val="ListParagraph"/>
        <w:ind w:left="0"/>
        <w:jc w:val="both"/>
        <w:rPr>
          <w:szCs w:val="26"/>
          <w:lang w:bidi="ar-EG"/>
        </w:rPr>
      </w:pPr>
      <w:r w:rsidRPr="009E15B5">
        <w:rPr>
          <w:szCs w:val="26"/>
          <w:lang w:bidi="ar-EG"/>
        </w:rPr>
        <w:t xml:space="preserve">About the year 500 A.D., Dionysius the Less, who was an abbot in a monastery at Rome, translated a collection of </w:t>
      </w:r>
      <w:r w:rsidRPr="00775DEE">
        <w:rPr>
          <w:b/>
          <w:bCs/>
          <w:szCs w:val="26"/>
          <w:lang w:bidi="ar-EG"/>
        </w:rPr>
        <w:t>canons</w:t>
      </w:r>
      <w:r w:rsidRPr="009E15B5">
        <w:rPr>
          <w:szCs w:val="26"/>
          <w:lang w:bidi="ar-EG"/>
        </w:rPr>
        <w:t xml:space="preserve"> from Greek into Latin, for Bishop Stephen of Salona, at the head of which he placed fifty canons, which according to him, pro</w:t>
      </w:r>
      <w:r w:rsidR="000E1C39">
        <w:rPr>
          <w:szCs w:val="26"/>
          <w:lang w:bidi="ar-EG"/>
        </w:rPr>
        <w:t>c</w:t>
      </w:r>
      <w:r w:rsidRPr="009E15B5">
        <w:rPr>
          <w:szCs w:val="26"/>
          <w:lang w:bidi="ar-EG"/>
        </w:rPr>
        <w:t xml:space="preserve">eeded from the apostles, and had been arranged and collected by their disciple </w:t>
      </w:r>
      <w:r w:rsidRPr="00775DEE">
        <w:rPr>
          <w:b/>
          <w:bCs/>
          <w:szCs w:val="26"/>
          <w:lang w:bidi="ar-EG"/>
        </w:rPr>
        <w:t>Clement of Rome</w:t>
      </w:r>
      <w:r w:rsidRPr="009E15B5">
        <w:rPr>
          <w:szCs w:val="26"/>
          <w:lang w:bidi="ar-EG"/>
        </w:rPr>
        <w:t>. Dionysius placed after them the canons of Nicaea, of Ancyra, of Constantinople, of Chalcedon.</w:t>
      </w:r>
      <w:r w:rsidRPr="009E15B5">
        <w:rPr>
          <w:rStyle w:val="FootnoteReference"/>
          <w:szCs w:val="26"/>
          <w:lang w:bidi="ar-EG"/>
        </w:rPr>
        <w:footnoteReference w:id="2"/>
      </w:r>
    </w:p>
    <w:p w:rsidR="00C95334" w:rsidRPr="00BF008E" w:rsidRDefault="00316E1A" w:rsidP="007915AF">
      <w:pPr>
        <w:pStyle w:val="ListParagraph"/>
        <w:bidi/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"</w:t>
      </w:r>
      <w:r w:rsidRPr="00316E1A">
        <w:rPr>
          <w:rFonts w:hint="cs"/>
          <w:sz w:val="32"/>
          <w:szCs w:val="32"/>
          <w:rtl/>
          <w:lang w:bidi="ar-EG"/>
        </w:rPr>
        <w:t xml:space="preserve">حوالى عام 500م، </w:t>
      </w:r>
      <w:r w:rsidR="009E15B5" w:rsidRPr="00316E1A">
        <w:rPr>
          <w:rFonts w:hint="cs"/>
          <w:sz w:val="32"/>
          <w:szCs w:val="32"/>
          <w:rtl/>
          <w:lang w:bidi="ar-EG"/>
        </w:rPr>
        <w:t xml:space="preserve">ترجم </w:t>
      </w:r>
      <w:r w:rsidR="007F4B0E" w:rsidRPr="00316E1A">
        <w:rPr>
          <w:rFonts w:hint="cs"/>
          <w:sz w:val="32"/>
          <w:szCs w:val="32"/>
          <w:rtl/>
          <w:lang w:bidi="ar-EG"/>
        </w:rPr>
        <w:t>ديونسيوس الصغير</w:t>
      </w:r>
      <w:r w:rsidR="000362C5" w:rsidRPr="00316E1A">
        <w:rPr>
          <w:rFonts w:hint="cs"/>
          <w:sz w:val="32"/>
          <w:szCs w:val="32"/>
          <w:rtl/>
          <w:lang w:bidi="ar-EG"/>
        </w:rPr>
        <w:t xml:space="preserve">، </w:t>
      </w:r>
      <w:r w:rsidR="007679CA">
        <w:rPr>
          <w:rFonts w:hint="cs"/>
          <w:sz w:val="32"/>
          <w:szCs w:val="32"/>
          <w:rtl/>
          <w:lang w:bidi="ar-EG"/>
        </w:rPr>
        <w:t>الذى كان</w:t>
      </w:r>
      <w:r w:rsidR="000362C5" w:rsidRPr="00316E1A">
        <w:rPr>
          <w:rFonts w:hint="cs"/>
          <w:sz w:val="32"/>
          <w:szCs w:val="32"/>
          <w:rtl/>
          <w:lang w:bidi="ar-EG"/>
        </w:rPr>
        <w:t xml:space="preserve"> رئيس</w:t>
      </w:r>
      <w:r w:rsidR="007679CA">
        <w:rPr>
          <w:rFonts w:hint="cs"/>
          <w:sz w:val="32"/>
          <w:szCs w:val="32"/>
          <w:rtl/>
          <w:lang w:bidi="ar-EG"/>
        </w:rPr>
        <w:t>اً</w:t>
      </w:r>
      <w:r w:rsidR="000362C5" w:rsidRPr="00316E1A">
        <w:rPr>
          <w:rFonts w:hint="cs"/>
          <w:sz w:val="32"/>
          <w:szCs w:val="32"/>
          <w:rtl/>
          <w:lang w:bidi="ar-EG"/>
        </w:rPr>
        <w:t xml:space="preserve"> </w:t>
      </w:r>
      <w:r w:rsidR="007679CA">
        <w:rPr>
          <w:rFonts w:hint="cs"/>
          <w:sz w:val="32"/>
          <w:szCs w:val="32"/>
          <w:rtl/>
          <w:lang w:bidi="ar-EG"/>
        </w:rPr>
        <w:t>ل</w:t>
      </w:r>
      <w:r w:rsidR="000362C5" w:rsidRPr="00316E1A">
        <w:rPr>
          <w:rFonts w:hint="cs"/>
          <w:sz w:val="32"/>
          <w:szCs w:val="32"/>
          <w:rtl/>
          <w:lang w:bidi="ar-EG"/>
        </w:rPr>
        <w:t>دير بروما</w:t>
      </w:r>
      <w:r>
        <w:rPr>
          <w:rFonts w:hint="cs"/>
          <w:sz w:val="32"/>
          <w:szCs w:val="32"/>
          <w:rtl/>
          <w:lang w:bidi="ar-EG"/>
        </w:rPr>
        <w:t>،</w:t>
      </w:r>
      <w:r w:rsidR="007F4B0E" w:rsidRPr="00316E1A">
        <w:rPr>
          <w:rFonts w:hint="cs"/>
          <w:sz w:val="32"/>
          <w:szCs w:val="32"/>
          <w:rtl/>
          <w:lang w:bidi="ar-EG"/>
        </w:rPr>
        <w:t xml:space="preserve"> </w:t>
      </w:r>
      <w:r w:rsidR="000362C5" w:rsidRPr="00316E1A">
        <w:rPr>
          <w:rFonts w:hint="cs"/>
          <w:sz w:val="32"/>
          <w:szCs w:val="32"/>
          <w:rtl/>
          <w:lang w:bidi="ar-EG"/>
        </w:rPr>
        <w:t>مجموعة قوانين من اليونانية إلى اللاتينية</w:t>
      </w:r>
      <w:r w:rsidR="0035157D" w:rsidRPr="00316E1A">
        <w:rPr>
          <w:rFonts w:hint="cs"/>
          <w:sz w:val="32"/>
          <w:szCs w:val="32"/>
          <w:rtl/>
          <w:lang w:bidi="ar-EG"/>
        </w:rPr>
        <w:t>،</w:t>
      </w:r>
      <w:r w:rsidR="000362C5" w:rsidRPr="00316E1A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ل</w:t>
      </w:r>
      <w:r w:rsidR="007679CA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ستفانوس أسقف سالونا، وعلى رأسها وضع </w:t>
      </w:r>
      <w:r w:rsidRPr="007679CA">
        <w:rPr>
          <w:rFonts w:hint="cs"/>
          <w:b/>
          <w:bCs/>
          <w:sz w:val="32"/>
          <w:szCs w:val="32"/>
          <w:rtl/>
          <w:lang w:bidi="ar-EG"/>
        </w:rPr>
        <w:t>خمسون قانون</w:t>
      </w:r>
      <w:r w:rsidR="00BF008E" w:rsidRPr="007679CA">
        <w:rPr>
          <w:rFonts w:hint="cs"/>
          <w:b/>
          <w:bCs/>
          <w:sz w:val="32"/>
          <w:szCs w:val="32"/>
          <w:rtl/>
          <w:lang w:bidi="ar-EG"/>
        </w:rPr>
        <w:t>اً</w:t>
      </w:r>
      <w:r w:rsidRPr="007679CA">
        <w:rPr>
          <w:rFonts w:hint="cs"/>
          <w:sz w:val="32"/>
          <w:szCs w:val="32"/>
          <w:rtl/>
          <w:lang w:bidi="ar-EG"/>
        </w:rPr>
        <w:t>،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7679CA" w:rsidRPr="007679CA">
        <w:rPr>
          <w:rFonts w:hint="cs"/>
          <w:b/>
          <w:bCs/>
          <w:sz w:val="32"/>
          <w:szCs w:val="32"/>
          <w:rtl/>
          <w:lang w:bidi="ar-EG"/>
        </w:rPr>
        <w:t>نبعت</w:t>
      </w:r>
      <w:r w:rsidRPr="007679CA">
        <w:rPr>
          <w:rFonts w:hint="cs"/>
          <w:b/>
          <w:bCs/>
          <w:sz w:val="32"/>
          <w:szCs w:val="32"/>
          <w:rtl/>
          <w:lang w:bidi="ar-EG"/>
        </w:rPr>
        <w:t xml:space="preserve"> وفقاً له </w:t>
      </w:r>
      <w:r w:rsidR="000362C5" w:rsidRPr="00316E1A">
        <w:rPr>
          <w:rFonts w:hint="cs"/>
          <w:b/>
          <w:bCs/>
          <w:sz w:val="32"/>
          <w:szCs w:val="32"/>
          <w:rtl/>
          <w:lang w:bidi="ar-EG"/>
        </w:rPr>
        <w:t>من الرسل</w:t>
      </w:r>
      <w:r w:rsidR="000362C5" w:rsidRPr="00316E1A">
        <w:rPr>
          <w:rFonts w:hint="cs"/>
          <w:sz w:val="32"/>
          <w:szCs w:val="32"/>
          <w:rtl/>
          <w:lang w:bidi="ar-EG"/>
        </w:rPr>
        <w:t xml:space="preserve"> </w:t>
      </w:r>
      <w:r w:rsidR="000362C5" w:rsidRPr="00BF008E">
        <w:rPr>
          <w:rFonts w:hint="cs"/>
          <w:b/>
          <w:bCs/>
          <w:sz w:val="32"/>
          <w:szCs w:val="32"/>
          <w:rtl/>
          <w:lang w:bidi="ar-EG"/>
        </w:rPr>
        <w:t xml:space="preserve">وتم ترتيبها وتجميعها بواسطة </w:t>
      </w:r>
      <w:r w:rsidRPr="00BF008E">
        <w:rPr>
          <w:rFonts w:hint="cs"/>
          <w:b/>
          <w:bCs/>
          <w:sz w:val="32"/>
          <w:szCs w:val="32"/>
          <w:rtl/>
          <w:lang w:bidi="ar-EG"/>
        </w:rPr>
        <w:t xml:space="preserve">تلميذهم </w:t>
      </w:r>
      <w:r w:rsidR="000362C5" w:rsidRPr="00BF008E">
        <w:rPr>
          <w:rFonts w:hint="cs"/>
          <w:b/>
          <w:bCs/>
          <w:sz w:val="32"/>
          <w:szCs w:val="32"/>
          <w:rtl/>
          <w:lang w:bidi="ar-EG"/>
        </w:rPr>
        <w:t>إكليمندس الرومانى</w:t>
      </w:r>
      <w:r w:rsidR="000362C5" w:rsidRPr="00316E1A">
        <w:rPr>
          <w:rFonts w:hint="cs"/>
          <w:sz w:val="32"/>
          <w:szCs w:val="32"/>
          <w:rtl/>
          <w:lang w:bidi="ar-EG"/>
        </w:rPr>
        <w:t xml:space="preserve">. </w:t>
      </w:r>
      <w:r w:rsidR="00BF008E" w:rsidRPr="00BF008E">
        <w:rPr>
          <w:rFonts w:hint="cs"/>
          <w:b/>
          <w:bCs/>
          <w:sz w:val="32"/>
          <w:szCs w:val="32"/>
          <w:rtl/>
          <w:lang w:bidi="ar-EG"/>
        </w:rPr>
        <w:t>و</w:t>
      </w:r>
      <w:r w:rsidRPr="00BF008E">
        <w:rPr>
          <w:rFonts w:hint="cs"/>
          <w:b/>
          <w:bCs/>
          <w:sz w:val="32"/>
          <w:szCs w:val="32"/>
          <w:rtl/>
          <w:lang w:bidi="ar-EG"/>
        </w:rPr>
        <w:t xml:space="preserve">وضع ديونيسيوس بعدها قوانين نيقية </w:t>
      </w:r>
      <w:r w:rsidRPr="00775DEE">
        <w:rPr>
          <w:rFonts w:hint="cs"/>
          <w:sz w:val="32"/>
          <w:szCs w:val="32"/>
          <w:rtl/>
          <w:lang w:bidi="ar-EG"/>
        </w:rPr>
        <w:t>وأنقرة والقسطنطينية وخلقيدونية."</w:t>
      </w:r>
    </w:p>
    <w:p w:rsidR="00316E1A" w:rsidRPr="00316E1A" w:rsidRDefault="00316E1A" w:rsidP="00316E1A">
      <w:pPr>
        <w:bidi/>
        <w:jc w:val="bot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وإكليمندس</w:t>
      </w:r>
      <w:r w:rsidR="00BF008E">
        <w:rPr>
          <w:rFonts w:hint="cs"/>
          <w:sz w:val="32"/>
          <w:szCs w:val="32"/>
          <w:rtl/>
          <w:lang w:bidi="ar-EG"/>
        </w:rPr>
        <w:t xml:space="preserve"> الرومانى</w:t>
      </w:r>
      <w:r>
        <w:rPr>
          <w:rFonts w:hint="cs"/>
          <w:sz w:val="32"/>
          <w:szCs w:val="32"/>
          <w:rtl/>
          <w:lang w:bidi="ar-EG"/>
        </w:rPr>
        <w:t xml:space="preserve"> كان أسقفاً لروما من 88 حتى 97م</w:t>
      </w:r>
      <w:r>
        <w:rPr>
          <w:rStyle w:val="FootnoteReference"/>
          <w:sz w:val="32"/>
          <w:szCs w:val="32"/>
          <w:rtl/>
          <w:lang w:bidi="ar-EG"/>
        </w:rPr>
        <w:footnoteReference w:id="3"/>
      </w:r>
      <w:r>
        <w:rPr>
          <w:rFonts w:hint="cs"/>
          <w:sz w:val="32"/>
          <w:szCs w:val="32"/>
          <w:rtl/>
          <w:lang w:bidi="ar-EG"/>
        </w:rPr>
        <w:t xml:space="preserve"> (أى فى القرن الأول الميلادى).</w:t>
      </w:r>
    </w:p>
    <w:p w:rsidR="00DF2394" w:rsidRPr="006E53C0" w:rsidRDefault="00DF2394" w:rsidP="00DF2394">
      <w:pPr>
        <w:pStyle w:val="ListParagraph"/>
        <w:bidi/>
        <w:ind w:left="0"/>
        <w:jc w:val="both"/>
        <w:rPr>
          <w:sz w:val="16"/>
          <w:szCs w:val="16"/>
          <w:rtl/>
          <w:lang w:bidi="ar-EG"/>
        </w:rPr>
      </w:pPr>
    </w:p>
    <w:p w:rsidR="00DA5369" w:rsidRPr="00DF2394" w:rsidRDefault="003D4644" w:rsidP="00B64874">
      <w:pPr>
        <w:pStyle w:val="ListParagraph"/>
        <w:numPr>
          <w:ilvl w:val="0"/>
          <w:numId w:val="2"/>
        </w:numPr>
        <w:bidi/>
        <w:spacing w:after="0"/>
        <w:ind w:left="0"/>
        <w:jc w:val="both"/>
        <w:rPr>
          <w:sz w:val="32"/>
          <w:szCs w:val="32"/>
          <w:lang w:bidi="ar-EG"/>
        </w:rPr>
      </w:pPr>
      <w:r w:rsidRPr="00DF2394">
        <w:rPr>
          <w:rFonts w:hint="cs"/>
          <w:sz w:val="32"/>
          <w:szCs w:val="32"/>
          <w:rtl/>
          <w:lang w:bidi="ar-EG"/>
        </w:rPr>
        <w:t xml:space="preserve">يقول </w:t>
      </w:r>
      <w:r w:rsidRPr="00DF2394">
        <w:rPr>
          <w:rFonts w:hint="cs"/>
          <w:b/>
          <w:bCs/>
          <w:sz w:val="32"/>
          <w:szCs w:val="32"/>
          <w:rtl/>
          <w:lang w:bidi="ar-EG"/>
        </w:rPr>
        <w:t>المؤرخ</w:t>
      </w:r>
      <w:r w:rsidR="00B03263" w:rsidRPr="00DF2394">
        <w:rPr>
          <w:rFonts w:hint="cs"/>
          <w:b/>
          <w:bCs/>
          <w:sz w:val="32"/>
          <w:szCs w:val="32"/>
          <w:rtl/>
          <w:lang w:bidi="ar-EG"/>
        </w:rPr>
        <w:t xml:space="preserve"> الشهير</w:t>
      </w:r>
      <w:r w:rsidRPr="00DF2394">
        <w:rPr>
          <w:rFonts w:hint="cs"/>
          <w:b/>
          <w:bCs/>
          <w:sz w:val="32"/>
          <w:szCs w:val="32"/>
          <w:rtl/>
          <w:lang w:bidi="ar-EG"/>
        </w:rPr>
        <w:t xml:space="preserve"> فيليب شاف</w:t>
      </w:r>
      <w:r w:rsidR="00C95334" w:rsidRPr="00DF239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C95334" w:rsidRPr="00DF2394">
        <w:rPr>
          <w:b/>
          <w:bCs/>
          <w:szCs w:val="26"/>
          <w:lang w:bidi="ar-EG"/>
        </w:rPr>
        <w:t>P</w:t>
      </w:r>
      <w:r w:rsidR="004236B1">
        <w:rPr>
          <w:b/>
          <w:bCs/>
          <w:szCs w:val="26"/>
          <w:lang w:bidi="ar-EG"/>
        </w:rPr>
        <w:t>h</w:t>
      </w:r>
      <w:r w:rsidR="00C95334" w:rsidRPr="00DF2394">
        <w:rPr>
          <w:b/>
          <w:bCs/>
          <w:szCs w:val="26"/>
          <w:lang w:bidi="ar-EG"/>
        </w:rPr>
        <w:t>ilip Schaff</w:t>
      </w:r>
      <w:r w:rsidR="00DA5369" w:rsidRPr="00DF2394">
        <w:rPr>
          <w:rFonts w:hint="cs"/>
          <w:sz w:val="32"/>
          <w:szCs w:val="32"/>
          <w:rtl/>
          <w:lang w:bidi="ar-EG"/>
        </w:rPr>
        <w:t xml:space="preserve">: </w:t>
      </w:r>
    </w:p>
    <w:p w:rsidR="00C95334" w:rsidRDefault="009E15B5" w:rsidP="00B64874">
      <w:pPr>
        <w:spacing w:after="0"/>
        <w:jc w:val="both"/>
        <w:rPr>
          <w:szCs w:val="26"/>
          <w:rtl/>
          <w:lang w:bidi="ar-EG"/>
        </w:rPr>
      </w:pPr>
      <w:r>
        <w:rPr>
          <w:szCs w:val="26"/>
          <w:lang w:bidi="ar-EG"/>
        </w:rPr>
        <w:t xml:space="preserve">The </w:t>
      </w:r>
      <w:r w:rsidRPr="00775DEE">
        <w:rPr>
          <w:b/>
          <w:bCs/>
          <w:szCs w:val="26"/>
          <w:lang w:bidi="ar-EG"/>
        </w:rPr>
        <w:t>Apostolic Constitutions</w:t>
      </w:r>
      <w:r>
        <w:rPr>
          <w:szCs w:val="26"/>
          <w:lang w:bidi="ar-EG"/>
        </w:rPr>
        <w:t>, the most complete and important Church Manual.</w:t>
      </w:r>
      <w:r>
        <w:rPr>
          <w:rStyle w:val="FootnoteReference"/>
          <w:szCs w:val="26"/>
          <w:lang w:bidi="ar-EG"/>
        </w:rPr>
        <w:footnoteReference w:id="4"/>
      </w:r>
    </w:p>
    <w:p w:rsidR="009E15B5" w:rsidRPr="009E15B5" w:rsidRDefault="009E15B5" w:rsidP="00B64874">
      <w:pPr>
        <w:bidi/>
        <w:spacing w:after="0"/>
        <w:ind w:firstLine="720"/>
        <w:jc w:val="both"/>
        <w:rPr>
          <w:sz w:val="32"/>
          <w:szCs w:val="32"/>
          <w:rtl/>
          <w:lang w:bidi="ar-EG"/>
        </w:rPr>
      </w:pPr>
      <w:r w:rsidRPr="009E15B5">
        <w:rPr>
          <w:rFonts w:hint="cs"/>
          <w:sz w:val="32"/>
          <w:szCs w:val="32"/>
          <w:rtl/>
          <w:lang w:bidi="ar-EG"/>
        </w:rPr>
        <w:t xml:space="preserve">"إن </w:t>
      </w:r>
      <w:r w:rsidRPr="00775DEE">
        <w:rPr>
          <w:rFonts w:hint="cs"/>
          <w:b/>
          <w:bCs/>
          <w:sz w:val="32"/>
          <w:szCs w:val="32"/>
          <w:rtl/>
          <w:lang w:bidi="ar-EG"/>
        </w:rPr>
        <w:t>الدستور الرسولى</w:t>
      </w:r>
      <w:r w:rsidRPr="009E15B5">
        <w:rPr>
          <w:rFonts w:hint="cs"/>
          <w:sz w:val="32"/>
          <w:szCs w:val="32"/>
          <w:rtl/>
          <w:lang w:bidi="ar-EG"/>
        </w:rPr>
        <w:t xml:space="preserve"> هو أهم وأشمل كتيب كنسى</w:t>
      </w:r>
      <w:r w:rsidR="00B96886">
        <w:rPr>
          <w:rFonts w:hint="cs"/>
          <w:sz w:val="32"/>
          <w:szCs w:val="32"/>
          <w:rtl/>
          <w:lang w:bidi="ar-EG"/>
        </w:rPr>
        <w:t>.</w:t>
      </w:r>
      <w:r w:rsidRPr="009E15B5">
        <w:rPr>
          <w:rFonts w:hint="cs"/>
          <w:sz w:val="32"/>
          <w:szCs w:val="32"/>
          <w:rtl/>
          <w:lang w:bidi="ar-EG"/>
        </w:rPr>
        <w:t>"</w:t>
      </w:r>
    </w:p>
    <w:p w:rsidR="00DA5369" w:rsidRPr="00B64874" w:rsidRDefault="003D4644" w:rsidP="00B64874">
      <w:pPr>
        <w:bidi/>
        <w:spacing w:after="0"/>
        <w:jc w:val="both"/>
        <w:rPr>
          <w:b/>
          <w:bCs/>
          <w:sz w:val="32"/>
          <w:szCs w:val="32"/>
          <w:rtl/>
          <w:lang w:bidi="ar-EG"/>
        </w:rPr>
      </w:pPr>
      <w:r w:rsidRPr="00B64874">
        <w:rPr>
          <w:rFonts w:hint="cs"/>
          <w:b/>
          <w:bCs/>
          <w:sz w:val="32"/>
          <w:szCs w:val="32"/>
          <w:rtl/>
          <w:lang w:bidi="ar-EG"/>
        </w:rPr>
        <w:t>ويضيف</w:t>
      </w:r>
      <w:r w:rsidR="00DA5369" w:rsidRPr="00B64874">
        <w:rPr>
          <w:rFonts w:hint="cs"/>
          <w:b/>
          <w:bCs/>
          <w:sz w:val="32"/>
          <w:szCs w:val="32"/>
          <w:rtl/>
          <w:lang w:bidi="ar-EG"/>
        </w:rPr>
        <w:t>:</w:t>
      </w:r>
    </w:p>
    <w:p w:rsidR="00DA5369" w:rsidRPr="00C95334" w:rsidRDefault="00DA5369" w:rsidP="00B64874">
      <w:pPr>
        <w:spacing w:after="0"/>
        <w:jc w:val="both"/>
        <w:rPr>
          <w:szCs w:val="26"/>
          <w:lang w:bidi="ar-EG"/>
        </w:rPr>
      </w:pPr>
      <w:r w:rsidRPr="00C95334">
        <w:rPr>
          <w:szCs w:val="26"/>
          <w:lang w:bidi="ar-EG"/>
        </w:rPr>
        <w:t xml:space="preserve">It contains, </w:t>
      </w:r>
      <w:r w:rsidRPr="00775DEE">
        <w:rPr>
          <w:b/>
          <w:bCs/>
          <w:szCs w:val="26"/>
          <w:lang w:bidi="ar-EG"/>
        </w:rPr>
        <w:t>in eight books</w:t>
      </w:r>
      <w:r w:rsidRPr="00C95334">
        <w:rPr>
          <w:szCs w:val="26"/>
          <w:lang w:bidi="ar-EG"/>
        </w:rPr>
        <w:t xml:space="preserve">, a collection of moral exhortations, church laws and usages, and liturgical formularies, which had gradually arisen in the various churches from the close of the first century, the time of </w:t>
      </w:r>
      <w:r w:rsidRPr="00775DEE">
        <w:rPr>
          <w:b/>
          <w:bCs/>
          <w:szCs w:val="26"/>
          <w:lang w:bidi="ar-EG"/>
        </w:rPr>
        <w:t>the</w:t>
      </w:r>
      <w:r w:rsidRPr="00C95334">
        <w:rPr>
          <w:szCs w:val="26"/>
          <w:lang w:bidi="ar-EG"/>
        </w:rPr>
        <w:t xml:space="preserve"> </w:t>
      </w:r>
      <w:r w:rsidRPr="00775DEE">
        <w:rPr>
          <w:b/>
          <w:bCs/>
          <w:szCs w:val="26"/>
          <w:lang w:bidi="ar-EG"/>
        </w:rPr>
        <w:t>Roman Clement</w:t>
      </w:r>
      <w:r w:rsidRPr="00C95334">
        <w:rPr>
          <w:szCs w:val="26"/>
          <w:lang w:bidi="ar-EG"/>
        </w:rPr>
        <w:t>, downward, particularly in Jerusalem, Antioch, Alexandria, and Rome, partly on the authority of apostolic practice.</w:t>
      </w:r>
      <w:r w:rsidR="007915AF">
        <w:rPr>
          <w:rStyle w:val="FootnoteReference"/>
          <w:szCs w:val="26"/>
          <w:lang w:bidi="ar-EG"/>
        </w:rPr>
        <w:footnoteReference w:id="5"/>
      </w:r>
      <w:r w:rsidR="00B7473A">
        <w:rPr>
          <w:szCs w:val="26"/>
          <w:lang w:bidi="ar-EG"/>
        </w:rPr>
        <w:t xml:space="preserve"> </w:t>
      </w:r>
    </w:p>
    <w:p w:rsidR="00DA5369" w:rsidRDefault="00B96886" w:rsidP="007915AF">
      <w:pPr>
        <w:bidi/>
        <w:ind w:left="720"/>
        <w:jc w:val="both"/>
        <w:rPr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"إنه ي</w:t>
      </w:r>
      <w:r w:rsidR="003D4644" w:rsidRPr="006E53C0">
        <w:rPr>
          <w:rFonts w:hint="cs"/>
          <w:b/>
          <w:bCs/>
          <w:sz w:val="32"/>
          <w:szCs w:val="32"/>
          <w:rtl/>
          <w:lang w:bidi="ar-EG"/>
        </w:rPr>
        <w:t>تضمن ثمان كتب</w:t>
      </w:r>
      <w:r w:rsidR="00646540" w:rsidRPr="00DA5369">
        <w:rPr>
          <w:rFonts w:hint="cs"/>
          <w:sz w:val="32"/>
          <w:szCs w:val="32"/>
          <w:rtl/>
          <w:lang w:bidi="ar-EG"/>
        </w:rPr>
        <w:t>، هى مجموعة من الحث الأخلاقى، وال</w:t>
      </w:r>
      <w:r w:rsidR="007915AF">
        <w:rPr>
          <w:rFonts w:hint="cs"/>
          <w:sz w:val="32"/>
          <w:szCs w:val="32"/>
          <w:rtl/>
          <w:lang w:bidi="ar-EG"/>
        </w:rPr>
        <w:t>شرائع</w:t>
      </w:r>
      <w:r w:rsidR="00646540" w:rsidRPr="00DA5369">
        <w:rPr>
          <w:rFonts w:hint="cs"/>
          <w:sz w:val="32"/>
          <w:szCs w:val="32"/>
          <w:rtl/>
          <w:lang w:bidi="ar-EG"/>
        </w:rPr>
        <w:t xml:space="preserve"> </w:t>
      </w:r>
      <w:r w:rsidR="007915AF" w:rsidRPr="00DA5369">
        <w:rPr>
          <w:rFonts w:hint="cs"/>
          <w:sz w:val="32"/>
          <w:szCs w:val="32"/>
          <w:rtl/>
          <w:lang w:bidi="ar-EG"/>
        </w:rPr>
        <w:t xml:space="preserve">والاستخدامات </w:t>
      </w:r>
      <w:r w:rsidR="00646540" w:rsidRPr="00DA5369">
        <w:rPr>
          <w:rFonts w:hint="cs"/>
          <w:sz w:val="32"/>
          <w:szCs w:val="32"/>
          <w:rtl/>
          <w:lang w:bidi="ar-EG"/>
        </w:rPr>
        <w:t>الكنسية، والصيغ الليتورجية</w:t>
      </w:r>
      <w:r w:rsidR="007915AF">
        <w:rPr>
          <w:rFonts w:hint="cs"/>
          <w:sz w:val="32"/>
          <w:szCs w:val="32"/>
          <w:rtl/>
          <w:lang w:bidi="ar-EG"/>
        </w:rPr>
        <w:t>،</w:t>
      </w:r>
      <w:r w:rsidR="00646540" w:rsidRPr="00DA5369">
        <w:rPr>
          <w:rFonts w:hint="cs"/>
          <w:sz w:val="32"/>
          <w:szCs w:val="32"/>
          <w:rtl/>
          <w:lang w:bidi="ar-EG"/>
        </w:rPr>
        <w:t xml:space="preserve"> التى نشأت تدريجياً فى الكنائس المتعددة منذ نهاية القرن الأول الميلادى، أيام </w:t>
      </w:r>
      <w:r w:rsidR="00646540" w:rsidRPr="00775DEE">
        <w:rPr>
          <w:rFonts w:hint="cs"/>
          <w:b/>
          <w:bCs/>
          <w:sz w:val="32"/>
          <w:szCs w:val="32"/>
          <w:rtl/>
          <w:lang w:bidi="ar-EG"/>
        </w:rPr>
        <w:t>إكليمندس الرومانى</w:t>
      </w:r>
      <w:r w:rsidR="00646540" w:rsidRPr="00DA5369">
        <w:rPr>
          <w:rFonts w:hint="cs"/>
          <w:sz w:val="32"/>
          <w:szCs w:val="32"/>
          <w:rtl/>
          <w:lang w:bidi="ar-EG"/>
        </w:rPr>
        <w:t xml:space="preserve">، </w:t>
      </w:r>
      <w:r w:rsidR="007915AF">
        <w:rPr>
          <w:rFonts w:hint="cs"/>
          <w:sz w:val="32"/>
          <w:szCs w:val="32"/>
          <w:rtl/>
          <w:lang w:bidi="ar-EG"/>
        </w:rPr>
        <w:t xml:space="preserve">بالتحديد </w:t>
      </w:r>
      <w:r w:rsidR="00646540" w:rsidRPr="00DA5369">
        <w:rPr>
          <w:rFonts w:hint="cs"/>
          <w:sz w:val="32"/>
          <w:szCs w:val="32"/>
          <w:rtl/>
          <w:lang w:bidi="ar-EG"/>
        </w:rPr>
        <w:t>فى أورشليم وأنطاكيا والأسكندرية وروما</w:t>
      </w:r>
      <w:r w:rsidR="007F4B0E">
        <w:rPr>
          <w:rFonts w:hint="cs"/>
          <w:sz w:val="32"/>
          <w:szCs w:val="32"/>
          <w:rtl/>
          <w:lang w:bidi="ar-EG"/>
        </w:rPr>
        <w:t>،</w:t>
      </w:r>
      <w:r w:rsidR="00646540" w:rsidRPr="00DA5369">
        <w:rPr>
          <w:rFonts w:hint="cs"/>
          <w:sz w:val="32"/>
          <w:szCs w:val="32"/>
          <w:rtl/>
          <w:lang w:bidi="ar-EG"/>
        </w:rPr>
        <w:t xml:space="preserve"> </w:t>
      </w:r>
      <w:r w:rsidR="007915AF">
        <w:rPr>
          <w:rFonts w:hint="cs"/>
          <w:sz w:val="32"/>
          <w:szCs w:val="32"/>
          <w:rtl/>
          <w:lang w:bidi="ar-EG"/>
        </w:rPr>
        <w:t>جزئياً</w:t>
      </w:r>
      <w:r w:rsidR="00646540" w:rsidRPr="00DA5369">
        <w:rPr>
          <w:rFonts w:hint="cs"/>
          <w:sz w:val="32"/>
          <w:szCs w:val="32"/>
          <w:rtl/>
          <w:lang w:bidi="ar-EG"/>
        </w:rPr>
        <w:t xml:space="preserve"> على سلطة الممارسة الرسولية</w:t>
      </w:r>
      <w:r>
        <w:rPr>
          <w:rFonts w:hint="cs"/>
          <w:sz w:val="32"/>
          <w:szCs w:val="32"/>
          <w:rtl/>
          <w:lang w:bidi="ar-EG"/>
        </w:rPr>
        <w:t>"</w:t>
      </w:r>
      <w:r w:rsidR="00646540" w:rsidRPr="00DA5369">
        <w:rPr>
          <w:rFonts w:hint="cs"/>
          <w:sz w:val="32"/>
          <w:szCs w:val="32"/>
          <w:rtl/>
          <w:lang w:bidi="ar-EG"/>
        </w:rPr>
        <w:t xml:space="preserve">. </w:t>
      </w:r>
    </w:p>
    <w:p w:rsidR="00DA5369" w:rsidRPr="00B64874" w:rsidRDefault="00BF008E" w:rsidP="00B64874">
      <w:pPr>
        <w:bidi/>
        <w:spacing w:after="0"/>
        <w:jc w:val="both"/>
        <w:rPr>
          <w:b/>
          <w:bCs/>
          <w:sz w:val="32"/>
          <w:szCs w:val="32"/>
          <w:rtl/>
          <w:lang w:bidi="ar-EG"/>
        </w:rPr>
      </w:pPr>
      <w:r w:rsidRPr="00B64874">
        <w:rPr>
          <w:rFonts w:hint="cs"/>
          <w:b/>
          <w:bCs/>
          <w:sz w:val="32"/>
          <w:szCs w:val="32"/>
          <w:rtl/>
          <w:lang w:bidi="ar-EG"/>
        </w:rPr>
        <w:t>و</w:t>
      </w:r>
      <w:r w:rsidR="00B64874">
        <w:rPr>
          <w:rFonts w:hint="cs"/>
          <w:b/>
          <w:bCs/>
          <w:sz w:val="32"/>
          <w:szCs w:val="32"/>
          <w:rtl/>
          <w:lang w:bidi="ar-EG"/>
        </w:rPr>
        <w:t xml:space="preserve">عن القوانين الرسولية </w:t>
      </w:r>
      <w:r w:rsidRPr="00B64874">
        <w:rPr>
          <w:rFonts w:hint="cs"/>
          <w:b/>
          <w:bCs/>
          <w:sz w:val="32"/>
          <w:szCs w:val="32"/>
          <w:rtl/>
          <w:lang w:bidi="ar-EG"/>
        </w:rPr>
        <w:t>يقول</w:t>
      </w:r>
      <w:r w:rsidR="00646540" w:rsidRPr="00B64874">
        <w:rPr>
          <w:rFonts w:hint="cs"/>
          <w:b/>
          <w:bCs/>
          <w:sz w:val="32"/>
          <w:szCs w:val="32"/>
          <w:rtl/>
          <w:lang w:bidi="ar-EG"/>
        </w:rPr>
        <w:t xml:space="preserve"> المؤرخ شاف</w:t>
      </w:r>
      <w:r w:rsidR="00DA5369" w:rsidRPr="00B64874">
        <w:rPr>
          <w:rFonts w:hint="cs"/>
          <w:b/>
          <w:bCs/>
          <w:sz w:val="32"/>
          <w:szCs w:val="32"/>
          <w:rtl/>
          <w:lang w:bidi="ar-EG"/>
        </w:rPr>
        <w:t>:</w:t>
      </w:r>
    </w:p>
    <w:p w:rsidR="00BF008E" w:rsidRDefault="007D65AE" w:rsidP="00775DEE">
      <w:pPr>
        <w:spacing w:after="0"/>
        <w:jc w:val="both"/>
        <w:rPr>
          <w:szCs w:val="26"/>
          <w:lang w:bidi="ar-EG"/>
        </w:rPr>
      </w:pPr>
      <w:r w:rsidRPr="00775DEE">
        <w:rPr>
          <w:b/>
          <w:bCs/>
          <w:szCs w:val="26"/>
          <w:lang w:bidi="ar-EG"/>
        </w:rPr>
        <w:t>The “Apostolical Canons”</w:t>
      </w:r>
      <w:r w:rsidR="00775DEE">
        <w:rPr>
          <w:b/>
          <w:bCs/>
          <w:szCs w:val="26"/>
          <w:lang w:bidi="ar-EG"/>
        </w:rPr>
        <w:t>:</w:t>
      </w:r>
      <w:r w:rsidRPr="007D65AE">
        <w:rPr>
          <w:szCs w:val="26"/>
          <w:lang w:bidi="ar-EG"/>
        </w:rPr>
        <w:t xml:space="preserve"> They are incorporated in the “</w:t>
      </w:r>
      <w:r w:rsidR="00775DEE" w:rsidRPr="00775DEE">
        <w:rPr>
          <w:b/>
          <w:bCs/>
          <w:szCs w:val="26"/>
          <w:lang w:bidi="ar-EG"/>
        </w:rPr>
        <w:t>C</w:t>
      </w:r>
      <w:r w:rsidRPr="00775DEE">
        <w:rPr>
          <w:b/>
          <w:bCs/>
          <w:szCs w:val="26"/>
          <w:lang w:bidi="ar-EG"/>
        </w:rPr>
        <w:t>onstitutions</w:t>
      </w:r>
      <w:r w:rsidRPr="007D65AE">
        <w:rPr>
          <w:szCs w:val="26"/>
          <w:lang w:bidi="ar-EG"/>
        </w:rPr>
        <w:t>” as an appendix to the eighth book, but are found also by themselves, in Greek, Syriac, Ethiopic, and Arabic manuscripts.</w:t>
      </w:r>
      <w:r>
        <w:rPr>
          <w:rStyle w:val="FootnoteReference"/>
          <w:szCs w:val="26"/>
          <w:lang w:bidi="ar-EG"/>
        </w:rPr>
        <w:footnoteReference w:id="6"/>
      </w:r>
    </w:p>
    <w:p w:rsidR="007D65AE" w:rsidRDefault="00B96886" w:rsidP="00775DEE">
      <w:pPr>
        <w:bidi/>
        <w:spacing w:after="0"/>
        <w:ind w:left="720"/>
        <w:jc w:val="both"/>
        <w:rPr>
          <w:sz w:val="32"/>
          <w:szCs w:val="32"/>
          <w:rtl/>
          <w:lang w:bidi="ar-EG"/>
        </w:rPr>
      </w:pPr>
      <w:r w:rsidRPr="00B96886">
        <w:rPr>
          <w:rFonts w:hint="cs"/>
          <w:sz w:val="32"/>
          <w:szCs w:val="32"/>
          <w:rtl/>
          <w:lang w:bidi="ar-EG"/>
        </w:rPr>
        <w:t>"</w:t>
      </w:r>
      <w:r w:rsidRPr="00775DEE">
        <w:rPr>
          <w:rFonts w:hint="cs"/>
          <w:b/>
          <w:bCs/>
          <w:sz w:val="32"/>
          <w:szCs w:val="32"/>
          <w:rtl/>
          <w:lang w:bidi="ar-EG"/>
        </w:rPr>
        <w:t>القوانين الرسولية</w:t>
      </w:r>
      <w:r w:rsidR="00775DEE" w:rsidRPr="00775DEE">
        <w:rPr>
          <w:rFonts w:hint="cs"/>
          <w:b/>
          <w:bCs/>
          <w:sz w:val="32"/>
          <w:szCs w:val="32"/>
          <w:rtl/>
          <w:lang w:bidi="ar-EG"/>
        </w:rPr>
        <w:t>:</w:t>
      </w:r>
      <w:r w:rsidRPr="00B96886">
        <w:rPr>
          <w:rFonts w:hint="cs"/>
          <w:sz w:val="32"/>
          <w:szCs w:val="32"/>
          <w:rtl/>
          <w:lang w:bidi="ar-EG"/>
        </w:rPr>
        <w:t xml:space="preserve"> </w:t>
      </w:r>
      <w:r w:rsidR="00775DEE">
        <w:rPr>
          <w:rFonts w:hint="cs"/>
          <w:sz w:val="32"/>
          <w:szCs w:val="32"/>
          <w:rtl/>
          <w:lang w:bidi="ar-EG"/>
        </w:rPr>
        <w:t>هى</w:t>
      </w:r>
      <w:r w:rsidRPr="00B96886">
        <w:rPr>
          <w:rFonts w:hint="cs"/>
          <w:sz w:val="32"/>
          <w:szCs w:val="32"/>
          <w:rtl/>
          <w:lang w:bidi="ar-EG"/>
        </w:rPr>
        <w:t xml:space="preserve"> متضمنة فى "</w:t>
      </w:r>
      <w:r w:rsidRPr="00775DEE">
        <w:rPr>
          <w:rFonts w:hint="cs"/>
          <w:b/>
          <w:bCs/>
          <w:sz w:val="32"/>
          <w:szCs w:val="32"/>
          <w:rtl/>
          <w:lang w:bidi="ar-EG"/>
        </w:rPr>
        <w:t>الدستور</w:t>
      </w:r>
      <w:r w:rsidRPr="00B96886">
        <w:rPr>
          <w:rFonts w:hint="cs"/>
          <w:sz w:val="32"/>
          <w:szCs w:val="32"/>
          <w:rtl/>
          <w:lang w:bidi="ar-EG"/>
        </w:rPr>
        <w:t xml:space="preserve">" كملحق للكتاب الثامن، لكنها </w:t>
      </w:r>
      <w:r w:rsidR="00B96F8A">
        <w:rPr>
          <w:rFonts w:hint="cs"/>
          <w:sz w:val="32"/>
          <w:szCs w:val="32"/>
          <w:rtl/>
          <w:lang w:bidi="ar-EG"/>
        </w:rPr>
        <w:t xml:space="preserve">أيضاً </w:t>
      </w:r>
      <w:r w:rsidRPr="00B96886">
        <w:rPr>
          <w:rFonts w:hint="cs"/>
          <w:sz w:val="32"/>
          <w:szCs w:val="32"/>
          <w:rtl/>
          <w:lang w:bidi="ar-EG"/>
        </w:rPr>
        <w:t xml:space="preserve">توجد مستقلة فى المخطوطات اليونانية والسريانية والإثيوبية والعربية." </w:t>
      </w:r>
    </w:p>
    <w:p w:rsidR="00CD456D" w:rsidRPr="00497A42" w:rsidRDefault="00CD456D" w:rsidP="00CD456D">
      <w:pPr>
        <w:bidi/>
        <w:ind w:left="720"/>
        <w:jc w:val="both"/>
        <w:rPr>
          <w:sz w:val="8"/>
          <w:szCs w:val="8"/>
          <w:rtl/>
          <w:lang w:bidi="ar-EG"/>
        </w:rPr>
      </w:pPr>
    </w:p>
    <w:p w:rsidR="00CC1FE8" w:rsidRPr="00CC1FE8" w:rsidRDefault="008317BD" w:rsidP="00BF008E">
      <w:pPr>
        <w:pStyle w:val="ListParagraph"/>
        <w:numPr>
          <w:ilvl w:val="0"/>
          <w:numId w:val="4"/>
        </w:numPr>
        <w:bidi/>
        <w:ind w:left="72"/>
        <w:jc w:val="both"/>
        <w:rPr>
          <w:b/>
          <w:bCs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و</w:t>
      </w:r>
      <w:r w:rsidR="00CC1FE8">
        <w:rPr>
          <w:rFonts w:hint="cs"/>
          <w:sz w:val="32"/>
          <w:szCs w:val="32"/>
          <w:rtl/>
          <w:lang w:bidi="ar-EG"/>
        </w:rPr>
        <w:t xml:space="preserve">عن </w:t>
      </w:r>
      <w:r>
        <w:rPr>
          <w:rFonts w:hint="cs"/>
          <w:sz w:val="32"/>
          <w:szCs w:val="32"/>
          <w:rtl/>
          <w:lang w:bidi="ar-EG"/>
        </w:rPr>
        <w:t>الأسقف بفيريج</w:t>
      </w:r>
      <w:r>
        <w:rPr>
          <w:sz w:val="32"/>
          <w:szCs w:val="32"/>
          <w:lang w:bidi="ar-EG"/>
        </w:rPr>
        <w:t xml:space="preserve"> </w:t>
      </w:r>
      <w:r w:rsidRPr="00810C2A">
        <w:rPr>
          <w:szCs w:val="26"/>
          <w:lang w:bidi="ar-EG"/>
        </w:rPr>
        <w:t>Beveridg</w:t>
      </w:r>
      <w:r>
        <w:rPr>
          <w:sz w:val="32"/>
          <w:szCs w:val="32"/>
          <w:lang w:bidi="ar-EG"/>
        </w:rPr>
        <w:t xml:space="preserve">e </w:t>
      </w:r>
      <w:r w:rsidR="00CC1FE8">
        <w:rPr>
          <w:rFonts w:hint="cs"/>
          <w:sz w:val="32"/>
          <w:szCs w:val="32"/>
          <w:rtl/>
          <w:lang w:bidi="ar-EG"/>
        </w:rPr>
        <w:t>قيل:</w:t>
      </w:r>
    </w:p>
    <w:p w:rsidR="00CC1FE8" w:rsidRPr="000E1C39" w:rsidRDefault="00CC1FE8" w:rsidP="0002525F">
      <w:pPr>
        <w:pStyle w:val="ListParagraph"/>
        <w:ind w:left="72"/>
        <w:jc w:val="both"/>
        <w:rPr>
          <w:b/>
          <w:bCs/>
          <w:szCs w:val="26"/>
          <w:lang w:bidi="ar-EG"/>
        </w:rPr>
      </w:pPr>
      <w:r w:rsidRPr="000E1C39">
        <w:rPr>
          <w:szCs w:val="26"/>
          <w:lang w:bidi="ar-EG"/>
        </w:rPr>
        <w:t>Bishop Beveridge at first attributed the Constitutions to Cleme</w:t>
      </w:r>
      <w:r w:rsidR="000E1C39" w:rsidRPr="000E1C39">
        <w:rPr>
          <w:szCs w:val="26"/>
          <w:lang w:bidi="ar-EG"/>
        </w:rPr>
        <w:t>n</w:t>
      </w:r>
      <w:r w:rsidRPr="000E1C39">
        <w:rPr>
          <w:szCs w:val="26"/>
          <w:lang w:bidi="ar-EG"/>
        </w:rPr>
        <w:t>s Alexandrinus (end of second century), but after</w:t>
      </w:r>
      <w:r w:rsidR="000E1C39" w:rsidRPr="000E1C39">
        <w:rPr>
          <w:szCs w:val="26"/>
          <w:lang w:bidi="ar-EG"/>
        </w:rPr>
        <w:t>w</w:t>
      </w:r>
      <w:r w:rsidRPr="000E1C39">
        <w:rPr>
          <w:szCs w:val="26"/>
          <w:lang w:bidi="ar-EG"/>
        </w:rPr>
        <w:t>ards accepted the third century as the more probable date</w:t>
      </w:r>
      <w:r w:rsidR="0002525F">
        <w:rPr>
          <w:szCs w:val="26"/>
          <w:lang w:bidi="ar-EG"/>
        </w:rPr>
        <w:t>.</w:t>
      </w:r>
      <w:r w:rsidR="000E1C39" w:rsidRPr="000E1C39">
        <w:rPr>
          <w:rStyle w:val="FootnoteReference"/>
          <w:b/>
          <w:bCs/>
          <w:szCs w:val="26"/>
          <w:rtl/>
          <w:lang w:bidi="ar-EG"/>
        </w:rPr>
        <w:footnoteReference w:id="7"/>
      </w:r>
    </w:p>
    <w:p w:rsidR="000E1C39" w:rsidRDefault="00CC1FE8" w:rsidP="00497A42">
      <w:pPr>
        <w:pStyle w:val="ListParagraph"/>
        <w:bidi/>
        <w:spacing w:after="0"/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"</w:t>
      </w:r>
      <w:r w:rsidR="0002525F">
        <w:rPr>
          <w:rFonts w:hint="cs"/>
          <w:sz w:val="32"/>
          <w:szCs w:val="32"/>
          <w:rtl/>
          <w:lang w:bidi="ar-EG"/>
        </w:rPr>
        <w:t xml:space="preserve">الأسقف بيفيريج </w:t>
      </w:r>
      <w:r w:rsidR="008317BD">
        <w:rPr>
          <w:rFonts w:hint="cs"/>
          <w:sz w:val="32"/>
          <w:szCs w:val="32"/>
          <w:rtl/>
          <w:lang w:bidi="ar-EG"/>
        </w:rPr>
        <w:t xml:space="preserve">فى البداية نسب </w:t>
      </w:r>
      <w:r w:rsidR="008317BD" w:rsidRPr="00775DEE">
        <w:rPr>
          <w:rFonts w:hint="cs"/>
          <w:b/>
          <w:bCs/>
          <w:sz w:val="32"/>
          <w:szCs w:val="32"/>
          <w:rtl/>
          <w:lang w:bidi="ar-EG"/>
        </w:rPr>
        <w:t>ال</w:t>
      </w:r>
      <w:r w:rsidR="00BF008E" w:rsidRPr="00775DEE">
        <w:rPr>
          <w:rFonts w:hint="cs"/>
          <w:b/>
          <w:bCs/>
          <w:sz w:val="32"/>
          <w:szCs w:val="32"/>
          <w:rtl/>
          <w:lang w:bidi="ar-EG"/>
        </w:rPr>
        <w:t>دستور</w:t>
      </w:r>
      <w:r w:rsidR="000F0EC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F0ECA" w:rsidRPr="000F0ECA">
        <w:rPr>
          <w:sz w:val="32"/>
          <w:szCs w:val="32"/>
          <w:lang w:bidi="ar-EG"/>
        </w:rPr>
        <w:t>constitutions</w:t>
      </w:r>
      <w:r w:rsidR="00BF008E" w:rsidRPr="00775DEE">
        <w:rPr>
          <w:rFonts w:hint="cs"/>
          <w:b/>
          <w:bCs/>
          <w:sz w:val="32"/>
          <w:szCs w:val="32"/>
          <w:rtl/>
          <w:lang w:bidi="ar-EG"/>
        </w:rPr>
        <w:t xml:space="preserve"> الرسولى</w:t>
      </w:r>
      <w:r w:rsidR="008317BD">
        <w:rPr>
          <w:rFonts w:hint="cs"/>
          <w:sz w:val="32"/>
          <w:szCs w:val="32"/>
          <w:rtl/>
          <w:lang w:bidi="ar-EG"/>
        </w:rPr>
        <w:t xml:space="preserve"> إلى </w:t>
      </w:r>
      <w:r w:rsidR="008317BD" w:rsidRPr="00775DEE">
        <w:rPr>
          <w:rFonts w:hint="cs"/>
          <w:b/>
          <w:bCs/>
          <w:sz w:val="32"/>
          <w:szCs w:val="32"/>
          <w:rtl/>
          <w:lang w:bidi="ar-EG"/>
        </w:rPr>
        <w:t>إكليمندس السكندرى</w:t>
      </w:r>
      <w:r w:rsidR="008317BD">
        <w:rPr>
          <w:rFonts w:hint="cs"/>
          <w:sz w:val="32"/>
          <w:szCs w:val="32"/>
          <w:rtl/>
          <w:lang w:bidi="ar-EG"/>
        </w:rPr>
        <w:t xml:space="preserve"> (نهاية القرن الثانى الميلادى)، لكنه بعد ذلك قبل </w:t>
      </w:r>
      <w:r w:rsidR="00BF008E">
        <w:rPr>
          <w:rFonts w:hint="cs"/>
          <w:sz w:val="32"/>
          <w:szCs w:val="32"/>
          <w:rtl/>
          <w:lang w:bidi="ar-EG"/>
        </w:rPr>
        <w:t xml:space="preserve">فكرة </w:t>
      </w:r>
      <w:r w:rsidR="008317BD">
        <w:rPr>
          <w:rFonts w:hint="cs"/>
          <w:sz w:val="32"/>
          <w:szCs w:val="32"/>
          <w:rtl/>
          <w:lang w:bidi="ar-EG"/>
        </w:rPr>
        <w:t xml:space="preserve">أنه </w:t>
      </w:r>
      <w:r w:rsidR="00BF008E">
        <w:rPr>
          <w:rFonts w:hint="cs"/>
          <w:sz w:val="32"/>
          <w:szCs w:val="32"/>
          <w:rtl/>
          <w:lang w:bidi="ar-EG"/>
        </w:rPr>
        <w:t>ي</w:t>
      </w:r>
      <w:r w:rsidR="008317BD">
        <w:rPr>
          <w:rFonts w:hint="cs"/>
          <w:sz w:val="32"/>
          <w:szCs w:val="32"/>
          <w:rtl/>
          <w:lang w:bidi="ar-EG"/>
        </w:rPr>
        <w:t>رجع إلى القرن الثالث</w:t>
      </w:r>
      <w:r w:rsidR="000E1C39">
        <w:rPr>
          <w:rFonts w:hint="cs"/>
          <w:sz w:val="32"/>
          <w:szCs w:val="32"/>
          <w:rtl/>
          <w:lang w:bidi="ar-EG"/>
        </w:rPr>
        <w:t>."</w:t>
      </w:r>
    </w:p>
    <w:p w:rsidR="004D2FA5" w:rsidRPr="004D2FA5" w:rsidRDefault="00497A42" w:rsidP="00497A42">
      <w:pPr>
        <w:bidi/>
        <w:spacing w:after="0"/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وقد </w:t>
      </w:r>
      <w:r w:rsidR="00CF6A38">
        <w:rPr>
          <w:rFonts w:hint="cs"/>
          <w:sz w:val="32"/>
          <w:szCs w:val="32"/>
          <w:rtl/>
          <w:lang w:bidi="ar-EG"/>
        </w:rPr>
        <w:t xml:space="preserve">عاش </w:t>
      </w:r>
      <w:r w:rsidR="004D2FA5">
        <w:rPr>
          <w:rFonts w:hint="cs"/>
          <w:sz w:val="32"/>
          <w:szCs w:val="32"/>
          <w:rtl/>
          <w:lang w:bidi="ar-EG"/>
        </w:rPr>
        <w:t xml:space="preserve">إكليمندس السكندرى </w:t>
      </w:r>
      <w:r w:rsidR="00CF6A38">
        <w:rPr>
          <w:rFonts w:hint="cs"/>
          <w:sz w:val="32"/>
          <w:szCs w:val="32"/>
          <w:rtl/>
          <w:lang w:bidi="ar-EG"/>
        </w:rPr>
        <w:t>من 150م حتى 215م.</w:t>
      </w:r>
      <w:r w:rsidR="00CF6A38">
        <w:rPr>
          <w:rStyle w:val="FootnoteReference"/>
          <w:sz w:val="32"/>
          <w:szCs w:val="32"/>
          <w:rtl/>
          <w:lang w:bidi="ar-EG"/>
        </w:rPr>
        <w:footnoteReference w:id="8"/>
      </w:r>
    </w:p>
    <w:p w:rsidR="0002525F" w:rsidRPr="0002525F" w:rsidRDefault="0002525F" w:rsidP="0002525F">
      <w:pPr>
        <w:pStyle w:val="ListParagraph"/>
        <w:bidi/>
        <w:jc w:val="both"/>
        <w:rPr>
          <w:sz w:val="16"/>
          <w:szCs w:val="16"/>
          <w:rtl/>
          <w:lang w:bidi="ar-EG"/>
        </w:rPr>
      </w:pPr>
    </w:p>
    <w:p w:rsidR="000E1C39" w:rsidRDefault="0002525F" w:rsidP="00775DEE">
      <w:pPr>
        <w:pStyle w:val="ListParagraph"/>
        <w:numPr>
          <w:ilvl w:val="0"/>
          <w:numId w:val="6"/>
        </w:numPr>
        <w:bidi/>
        <w:ind w:left="72"/>
        <w:jc w:val="bot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أما </w:t>
      </w:r>
      <w:r w:rsidR="000E1C39" w:rsidRPr="000E1C39">
        <w:rPr>
          <w:rFonts w:hint="cs"/>
          <w:sz w:val="32"/>
          <w:szCs w:val="32"/>
          <w:rtl/>
          <w:lang w:bidi="ar-EG"/>
        </w:rPr>
        <w:t>عن قوانين الرسل</w:t>
      </w:r>
      <w:r w:rsidR="000E1C39">
        <w:rPr>
          <w:rFonts w:hint="cs"/>
          <w:sz w:val="32"/>
          <w:szCs w:val="32"/>
          <w:rtl/>
          <w:lang w:bidi="ar-EG"/>
        </w:rPr>
        <w:t>:</w:t>
      </w:r>
    </w:p>
    <w:p w:rsidR="000E1C39" w:rsidRPr="000E1C39" w:rsidRDefault="000E1C39" w:rsidP="000E1C39">
      <w:pPr>
        <w:pStyle w:val="ListParagraph"/>
        <w:ind w:left="72"/>
        <w:jc w:val="both"/>
        <w:rPr>
          <w:szCs w:val="26"/>
          <w:rtl/>
          <w:lang w:bidi="ar-EG"/>
        </w:rPr>
      </w:pPr>
      <w:r w:rsidRPr="000E1C39">
        <w:rPr>
          <w:szCs w:val="26"/>
          <w:lang w:bidi="ar-EG"/>
        </w:rPr>
        <w:t xml:space="preserve">Bishop Beveridge sought to trace these </w:t>
      </w:r>
      <w:r w:rsidRPr="0002525F">
        <w:rPr>
          <w:i/>
          <w:iCs/>
          <w:szCs w:val="26"/>
          <w:lang w:bidi="ar-EG"/>
        </w:rPr>
        <w:t>Canons</w:t>
      </w:r>
      <w:r w:rsidRPr="000E1C39">
        <w:rPr>
          <w:szCs w:val="26"/>
          <w:lang w:bidi="ar-EG"/>
        </w:rPr>
        <w:t xml:space="preserve"> to the synods of the first two centuries.</w:t>
      </w:r>
      <w:r>
        <w:rPr>
          <w:rStyle w:val="FootnoteReference"/>
          <w:szCs w:val="26"/>
          <w:lang w:bidi="ar-EG"/>
        </w:rPr>
        <w:footnoteReference w:id="9"/>
      </w:r>
    </w:p>
    <w:p w:rsidR="008317BD" w:rsidRDefault="000E1C39" w:rsidP="000E1C39">
      <w:pPr>
        <w:pStyle w:val="ListParagraph"/>
        <w:bidi/>
        <w:ind w:left="72" w:firstLine="648"/>
        <w:jc w:val="both"/>
        <w:rPr>
          <w:b/>
          <w:bCs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"الأسقف بيفيريج</w:t>
      </w:r>
      <w:r w:rsidR="00BF008E">
        <w:rPr>
          <w:rFonts w:hint="cs"/>
          <w:sz w:val="32"/>
          <w:szCs w:val="32"/>
          <w:rtl/>
          <w:lang w:bidi="ar-EG"/>
        </w:rPr>
        <w:t xml:space="preserve"> يرجع</w:t>
      </w:r>
      <w:r w:rsidR="008317BD">
        <w:rPr>
          <w:rFonts w:hint="cs"/>
          <w:sz w:val="32"/>
          <w:szCs w:val="32"/>
          <w:rtl/>
          <w:lang w:bidi="ar-EG"/>
        </w:rPr>
        <w:t xml:space="preserve"> </w:t>
      </w:r>
      <w:r w:rsidR="008317BD" w:rsidRPr="00810C2A">
        <w:rPr>
          <w:rFonts w:hint="cs"/>
          <w:b/>
          <w:bCs/>
          <w:sz w:val="32"/>
          <w:szCs w:val="32"/>
          <w:rtl/>
          <w:lang w:bidi="ar-EG"/>
        </w:rPr>
        <w:t>القوانين</w:t>
      </w:r>
      <w:r w:rsidR="00810C2A" w:rsidRPr="00810C2A">
        <w:rPr>
          <w:sz w:val="32"/>
          <w:szCs w:val="32"/>
          <w:lang w:bidi="ar-EG"/>
        </w:rPr>
        <w:t>Canons</w:t>
      </w:r>
      <w:r w:rsidR="00BF008E">
        <w:rPr>
          <w:sz w:val="32"/>
          <w:szCs w:val="32"/>
          <w:lang w:bidi="ar-EG"/>
        </w:rPr>
        <w:t xml:space="preserve"> </w:t>
      </w:r>
      <w:r w:rsidR="00BF008E">
        <w:rPr>
          <w:rFonts w:hint="cs"/>
          <w:sz w:val="32"/>
          <w:szCs w:val="32"/>
          <w:rtl/>
          <w:lang w:bidi="ar-EG"/>
        </w:rPr>
        <w:t xml:space="preserve"> </w:t>
      </w:r>
      <w:r w:rsidR="008317BD" w:rsidRPr="00810C2A">
        <w:rPr>
          <w:rFonts w:hint="cs"/>
          <w:b/>
          <w:bCs/>
          <w:sz w:val="32"/>
          <w:szCs w:val="32"/>
          <w:rtl/>
          <w:lang w:bidi="ar-EG"/>
        </w:rPr>
        <w:t>إلى مجامع القرنين الأول والثانى</w:t>
      </w:r>
      <w:r>
        <w:rPr>
          <w:rFonts w:hint="cs"/>
          <w:b/>
          <w:bCs/>
          <w:sz w:val="32"/>
          <w:szCs w:val="32"/>
          <w:rtl/>
          <w:lang w:bidi="ar-EG"/>
        </w:rPr>
        <w:t>"</w:t>
      </w:r>
      <w:r w:rsidR="008317BD" w:rsidRPr="00810C2A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FD30AA" w:rsidRPr="0002525F" w:rsidRDefault="00FD30AA" w:rsidP="00FD30AA">
      <w:pPr>
        <w:pStyle w:val="ListParagraph"/>
        <w:bidi/>
        <w:ind w:left="72"/>
        <w:jc w:val="both"/>
        <w:rPr>
          <w:b/>
          <w:bCs/>
          <w:sz w:val="24"/>
          <w:szCs w:val="24"/>
          <w:lang w:bidi="ar-EG"/>
        </w:rPr>
      </w:pPr>
    </w:p>
    <w:p w:rsidR="00CC1FE8" w:rsidRPr="00CC1FE8" w:rsidRDefault="0002525F" w:rsidP="0002525F">
      <w:pPr>
        <w:pStyle w:val="ListParagraph"/>
        <w:numPr>
          <w:ilvl w:val="0"/>
          <w:numId w:val="4"/>
        </w:numPr>
        <w:bidi/>
        <w:spacing w:after="0"/>
        <w:ind w:left="72"/>
        <w:jc w:val="bot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و</w:t>
      </w:r>
      <w:r w:rsidR="00A02064" w:rsidRPr="00A02064">
        <w:rPr>
          <w:rFonts w:hint="cs"/>
          <w:sz w:val="32"/>
          <w:szCs w:val="32"/>
          <w:rtl/>
          <w:lang w:bidi="ar-EG"/>
        </w:rPr>
        <w:t>يقول د. دونالدسون</w:t>
      </w:r>
      <w:r w:rsidR="00A02064">
        <w:rPr>
          <w:rFonts w:hint="cs"/>
          <w:sz w:val="32"/>
          <w:szCs w:val="32"/>
          <w:rtl/>
          <w:lang w:bidi="ar-EG"/>
        </w:rPr>
        <w:t xml:space="preserve"> </w:t>
      </w:r>
      <w:r w:rsidR="00A02064" w:rsidRPr="004A313B">
        <w:rPr>
          <w:szCs w:val="26"/>
          <w:lang w:bidi="ar-EG"/>
        </w:rPr>
        <w:t>Dr. Donaldson</w:t>
      </w:r>
      <w:r w:rsidR="00A02064" w:rsidRPr="004A313B">
        <w:rPr>
          <w:rFonts w:hint="cs"/>
          <w:szCs w:val="26"/>
          <w:rtl/>
          <w:lang w:bidi="ar-EG"/>
        </w:rPr>
        <w:t xml:space="preserve"> </w:t>
      </w:r>
      <w:r w:rsidR="00CC1FE8" w:rsidRPr="00CC1FE8">
        <w:rPr>
          <w:rFonts w:hint="cs"/>
          <w:sz w:val="32"/>
          <w:szCs w:val="32"/>
          <w:rtl/>
          <w:lang w:bidi="ar-EG"/>
        </w:rPr>
        <w:t xml:space="preserve">عن تاريخ </w:t>
      </w:r>
      <w:r w:rsidR="00CC1FE8" w:rsidRPr="00775DEE">
        <w:rPr>
          <w:rFonts w:hint="cs"/>
          <w:b/>
          <w:bCs/>
          <w:sz w:val="32"/>
          <w:szCs w:val="32"/>
          <w:rtl/>
          <w:lang w:bidi="ar-EG"/>
        </w:rPr>
        <w:t>الدستور الرسولى</w:t>
      </w:r>
      <w:r w:rsidR="00775DEE">
        <w:rPr>
          <w:sz w:val="32"/>
          <w:szCs w:val="32"/>
          <w:lang w:bidi="ar-EG"/>
        </w:rPr>
        <w:t xml:space="preserve"> </w:t>
      </w:r>
      <w:r w:rsidR="00775DEE" w:rsidRPr="00775DEE">
        <w:rPr>
          <w:szCs w:val="26"/>
          <w:lang w:bidi="ar-EG"/>
        </w:rPr>
        <w:t>Constitutions</w:t>
      </w:r>
      <w:r w:rsidR="00775DEE">
        <w:rPr>
          <w:sz w:val="32"/>
          <w:szCs w:val="32"/>
          <w:lang w:bidi="ar-EG"/>
        </w:rPr>
        <w:t xml:space="preserve"> </w:t>
      </w:r>
      <w:r w:rsidR="00CC1FE8" w:rsidRPr="00CC1FE8">
        <w:rPr>
          <w:rFonts w:hint="cs"/>
          <w:sz w:val="32"/>
          <w:szCs w:val="32"/>
          <w:rtl/>
          <w:lang w:bidi="ar-EG"/>
        </w:rPr>
        <w:t>:</w:t>
      </w:r>
    </w:p>
    <w:p w:rsidR="00CC1FE8" w:rsidRPr="00CC1FE8" w:rsidRDefault="00CC1FE8" w:rsidP="0002525F">
      <w:pPr>
        <w:spacing w:after="0"/>
        <w:rPr>
          <w:szCs w:val="26"/>
          <w:rtl/>
          <w:lang w:bidi="ar-EG"/>
        </w:rPr>
      </w:pPr>
      <w:r w:rsidRPr="00CC1FE8">
        <w:rPr>
          <w:szCs w:val="26"/>
          <w:lang w:bidi="ar-EG"/>
        </w:rPr>
        <w:t>Earlier writers were inclined to assign them to the apostolic age, and to Clement.</w:t>
      </w:r>
      <w:r w:rsidRPr="00CC1FE8">
        <w:rPr>
          <w:rStyle w:val="FootnoteReference"/>
          <w:szCs w:val="26"/>
          <w:rtl/>
          <w:lang w:bidi="ar-EG"/>
        </w:rPr>
        <w:t xml:space="preserve"> </w:t>
      </w:r>
      <w:r w:rsidRPr="00CC1FE8">
        <w:rPr>
          <w:rStyle w:val="FootnoteReference"/>
          <w:szCs w:val="26"/>
          <w:rtl/>
          <w:lang w:bidi="ar-EG"/>
        </w:rPr>
        <w:footnoteReference w:id="10"/>
      </w:r>
    </w:p>
    <w:p w:rsidR="00A7792D" w:rsidRPr="00CC1FE8" w:rsidRDefault="00CC1FE8" w:rsidP="001039AB">
      <w:pPr>
        <w:pStyle w:val="ListParagraph"/>
        <w:bidi/>
        <w:spacing w:after="0"/>
        <w:ind w:left="72" w:firstLine="648"/>
        <w:jc w:val="bot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"</w:t>
      </w:r>
      <w:r w:rsidR="0002525F">
        <w:rPr>
          <w:rFonts w:hint="cs"/>
          <w:sz w:val="32"/>
          <w:szCs w:val="32"/>
          <w:rtl/>
          <w:lang w:bidi="ar-EG"/>
        </w:rPr>
        <w:t>إ</w:t>
      </w:r>
      <w:r w:rsidR="00A02064" w:rsidRPr="00CC1FE8">
        <w:rPr>
          <w:rFonts w:hint="cs"/>
          <w:sz w:val="32"/>
          <w:szCs w:val="32"/>
          <w:rtl/>
          <w:lang w:bidi="ar-EG"/>
        </w:rPr>
        <w:t>ن الكتّاب الأول</w:t>
      </w:r>
      <w:r w:rsidR="00B4100A" w:rsidRPr="00CC1FE8">
        <w:rPr>
          <w:rFonts w:hint="cs"/>
          <w:sz w:val="32"/>
          <w:szCs w:val="32"/>
          <w:rtl/>
          <w:lang w:bidi="ar-EG"/>
        </w:rPr>
        <w:t>ون</w:t>
      </w:r>
      <w:r w:rsidR="00A02064" w:rsidRPr="00CC1FE8">
        <w:rPr>
          <w:rFonts w:hint="cs"/>
          <w:sz w:val="32"/>
          <w:szCs w:val="32"/>
          <w:rtl/>
          <w:lang w:bidi="ar-EG"/>
        </w:rPr>
        <w:t xml:space="preserve"> يميلون إلى </w:t>
      </w:r>
      <w:r w:rsidR="001039AB">
        <w:rPr>
          <w:rFonts w:hint="cs"/>
          <w:sz w:val="32"/>
          <w:szCs w:val="32"/>
          <w:rtl/>
          <w:lang w:bidi="ar-EG"/>
        </w:rPr>
        <w:t>نسبتها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A02064" w:rsidRPr="00CC1FE8">
        <w:rPr>
          <w:rFonts w:hint="cs"/>
          <w:b/>
          <w:bCs/>
          <w:sz w:val="32"/>
          <w:szCs w:val="32"/>
          <w:rtl/>
          <w:lang w:bidi="ar-EG"/>
        </w:rPr>
        <w:t>إلى العصر الرسولى وإلى إكليمندس</w:t>
      </w:r>
      <w:r w:rsidR="000E1C39">
        <w:rPr>
          <w:rFonts w:hint="cs"/>
          <w:b/>
          <w:bCs/>
          <w:sz w:val="32"/>
          <w:szCs w:val="32"/>
          <w:rtl/>
          <w:lang w:bidi="ar-EG"/>
        </w:rPr>
        <w:t>"</w:t>
      </w:r>
      <w:r w:rsidR="00A02064" w:rsidRPr="00CC1FE8">
        <w:rPr>
          <w:rFonts w:hint="cs"/>
          <w:sz w:val="32"/>
          <w:szCs w:val="32"/>
          <w:rtl/>
          <w:lang w:bidi="ar-EG"/>
        </w:rPr>
        <w:t>.</w:t>
      </w:r>
    </w:p>
    <w:p w:rsidR="00CC1FE8" w:rsidRPr="00497A42" w:rsidRDefault="00CC1FE8" w:rsidP="00CC1FE8">
      <w:pPr>
        <w:pStyle w:val="ListParagraph"/>
        <w:rPr>
          <w:sz w:val="16"/>
          <w:szCs w:val="16"/>
          <w:rtl/>
          <w:lang w:bidi="ar-EG"/>
        </w:rPr>
      </w:pPr>
    </w:p>
    <w:p w:rsidR="00CC1FE8" w:rsidRDefault="00CC1FE8" w:rsidP="001039AB">
      <w:pPr>
        <w:pStyle w:val="ListParagraph"/>
        <w:numPr>
          <w:ilvl w:val="0"/>
          <w:numId w:val="4"/>
        </w:numPr>
        <w:bidi/>
        <w:spacing w:after="0"/>
        <w:ind w:left="72"/>
        <w:jc w:val="both"/>
        <w:rPr>
          <w:b/>
          <w:bCs/>
          <w:sz w:val="32"/>
          <w:szCs w:val="32"/>
          <w:lang w:bidi="ar-EG"/>
        </w:rPr>
      </w:pPr>
      <w:r w:rsidRPr="00CC1FE8">
        <w:rPr>
          <w:rFonts w:hint="cs"/>
          <w:b/>
          <w:bCs/>
          <w:sz w:val="32"/>
          <w:szCs w:val="32"/>
          <w:rtl/>
          <w:lang w:bidi="ar-EG"/>
        </w:rPr>
        <w:t>بخصوص قوانين هيبوليتس</w:t>
      </w:r>
    </w:p>
    <w:p w:rsidR="004D2FA5" w:rsidRPr="004D2FA5" w:rsidRDefault="004D2FA5" w:rsidP="004D2FA5">
      <w:pPr>
        <w:bidi/>
        <w:spacing w:after="0"/>
        <w:ind w:left="-288"/>
        <w:jc w:val="both"/>
        <w:rPr>
          <w:sz w:val="32"/>
          <w:szCs w:val="32"/>
          <w:lang w:bidi="ar-EG"/>
        </w:rPr>
      </w:pPr>
      <w:r w:rsidRPr="004D2FA5">
        <w:rPr>
          <w:rFonts w:hint="cs"/>
          <w:sz w:val="32"/>
          <w:szCs w:val="32"/>
          <w:rtl/>
          <w:lang w:bidi="ar-EG"/>
        </w:rPr>
        <w:t>ورد فى قاموس أكسفورد للكنيسة المسيحية ما يلى:</w:t>
      </w:r>
    </w:p>
    <w:p w:rsidR="00CC1FE8" w:rsidRPr="00CC1FE8" w:rsidRDefault="00CC1FE8" w:rsidP="001039AB">
      <w:pPr>
        <w:spacing w:after="0"/>
        <w:rPr>
          <w:szCs w:val="26"/>
          <w:lang w:bidi="ar-EG"/>
        </w:rPr>
      </w:pPr>
      <w:r w:rsidRPr="00CC1FE8">
        <w:rPr>
          <w:szCs w:val="26"/>
          <w:lang w:bidi="ar-EG"/>
        </w:rPr>
        <w:t>“Canons of St. Hippolytus: They are dependent on the Apostolic Tradition of St. Hippolytus, to whom they are wrongly attributed.”</w:t>
      </w:r>
      <w:r w:rsidRPr="00CC1FE8">
        <w:rPr>
          <w:rStyle w:val="FootnoteReference"/>
          <w:szCs w:val="26"/>
          <w:lang w:bidi="ar-EG"/>
        </w:rPr>
        <w:footnoteReference w:id="11"/>
      </w:r>
    </w:p>
    <w:p w:rsidR="004D2FA5" w:rsidRDefault="00CC1FE8" w:rsidP="004D2FA5">
      <w:pPr>
        <w:bidi/>
        <w:spacing w:after="0"/>
        <w:ind w:left="720"/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"قوانين القديس هيبوليتس تعتمد على التقليد الرسولى للقديس هيبوليتس </w:t>
      </w:r>
      <w:r w:rsidR="001039AB">
        <w:rPr>
          <w:rFonts w:hint="cs"/>
          <w:sz w:val="32"/>
          <w:szCs w:val="32"/>
          <w:rtl/>
          <w:lang w:bidi="ar-EG"/>
        </w:rPr>
        <w:t xml:space="preserve">التى </w:t>
      </w:r>
      <w:r>
        <w:rPr>
          <w:rFonts w:hint="cs"/>
          <w:sz w:val="32"/>
          <w:szCs w:val="32"/>
          <w:rtl/>
          <w:lang w:bidi="ar-EG"/>
        </w:rPr>
        <w:t>تنسب إليه عن طريق الخطأ."</w:t>
      </w:r>
    </w:p>
    <w:p w:rsidR="00FD30AA" w:rsidRDefault="004D2FA5" w:rsidP="00497A42">
      <w:pPr>
        <w:bidi/>
        <w:spacing w:after="0"/>
        <w:jc w:val="bot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وبهذا لا ينبغى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>كما يدّعى البعض- أن تُنسب قوانين الرسل إلى القديس هيبوليتس الذى عاش (170م-236م).</w:t>
      </w:r>
      <w:r>
        <w:rPr>
          <w:rStyle w:val="FootnoteReference"/>
          <w:sz w:val="32"/>
          <w:szCs w:val="32"/>
          <w:rtl/>
          <w:lang w:bidi="ar-EG"/>
        </w:rPr>
        <w:footnoteReference w:id="12"/>
      </w:r>
    </w:p>
    <w:sectPr w:rsidR="00FD30AA" w:rsidSect="003D464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E12" w:rsidRDefault="00966E12" w:rsidP="00C35CE7">
      <w:pPr>
        <w:spacing w:after="0" w:line="240" w:lineRule="auto"/>
      </w:pPr>
      <w:r>
        <w:separator/>
      </w:r>
    </w:p>
  </w:endnote>
  <w:endnote w:type="continuationSeparator" w:id="1">
    <w:p w:rsidR="00966E12" w:rsidRDefault="00966E12" w:rsidP="00C3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789914"/>
      <w:docPartObj>
        <w:docPartGallery w:val="Page Numbers (Bottom of Page)"/>
        <w:docPartUnique/>
      </w:docPartObj>
    </w:sdtPr>
    <w:sdtContent>
      <w:p w:rsidR="00B96886" w:rsidRDefault="00966B44" w:rsidP="008317BD">
        <w:pPr>
          <w:pStyle w:val="Footer"/>
          <w:bidi/>
          <w:jc w:val="center"/>
        </w:pPr>
        <w:fldSimple w:instr=" PAGE   \* MERGEFORMAT ">
          <w:r w:rsidR="000F0ECA">
            <w:rPr>
              <w:noProof/>
              <w:rtl/>
            </w:rPr>
            <w:t>3</w:t>
          </w:r>
        </w:fldSimple>
      </w:p>
    </w:sdtContent>
  </w:sdt>
  <w:p w:rsidR="00B96886" w:rsidRDefault="00B968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E12" w:rsidRDefault="00966E12" w:rsidP="00C35CE7">
      <w:pPr>
        <w:spacing w:after="0" w:line="240" w:lineRule="auto"/>
      </w:pPr>
      <w:r>
        <w:separator/>
      </w:r>
    </w:p>
  </w:footnote>
  <w:footnote w:type="continuationSeparator" w:id="1">
    <w:p w:rsidR="00966E12" w:rsidRDefault="00966E12" w:rsidP="00C35CE7">
      <w:pPr>
        <w:spacing w:after="0" w:line="240" w:lineRule="auto"/>
      </w:pPr>
      <w:r>
        <w:continuationSeparator/>
      </w:r>
    </w:p>
  </w:footnote>
  <w:footnote w:id="2">
    <w:p w:rsidR="00B96886" w:rsidRDefault="00B968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bidi="ar-EG"/>
        </w:rPr>
        <w:t xml:space="preserve">C.J. Hefele, </w:t>
      </w:r>
      <w:r w:rsidRPr="009E15B5">
        <w:rPr>
          <w:i/>
          <w:iCs/>
          <w:lang w:bidi="ar-EG"/>
        </w:rPr>
        <w:t>A History of the Christian Councils</w:t>
      </w:r>
      <w:r>
        <w:rPr>
          <w:lang w:bidi="ar-EG"/>
        </w:rPr>
        <w:t>, vol. I, T&amp;T Clark, Edinburgh, 1894, Appendix p.449.</w:t>
      </w:r>
    </w:p>
  </w:footnote>
  <w:footnote w:id="3">
    <w:p w:rsidR="00B96886" w:rsidRPr="00316E1A" w:rsidRDefault="00B96886" w:rsidP="00316E1A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ar-EG"/>
        </w:rPr>
        <w:t xml:space="preserve">J. A, McGuckin, </w:t>
      </w:r>
      <w:r w:rsidRPr="00316E1A">
        <w:rPr>
          <w:i/>
          <w:iCs/>
          <w:lang w:bidi="ar-EG"/>
        </w:rPr>
        <w:t>The Westminster handbook to Patristic Theology</w:t>
      </w:r>
      <w:r>
        <w:rPr>
          <w:lang w:bidi="ar-EG"/>
        </w:rPr>
        <w:t>, Westminster John Knox Press, p. 68.</w:t>
      </w:r>
    </w:p>
  </w:footnote>
  <w:footnote w:id="4">
    <w:p w:rsidR="00B96886" w:rsidRDefault="00B96886" w:rsidP="0002525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lang w:bidi="ar-EG"/>
        </w:rPr>
        <w:t xml:space="preserve">P. Schaff, </w:t>
      </w:r>
      <w:r w:rsidRPr="000362C5">
        <w:rPr>
          <w:i/>
          <w:iCs/>
          <w:lang w:bidi="ar-EG"/>
        </w:rPr>
        <w:t>History of the Christian Church</w:t>
      </w:r>
      <w:r>
        <w:rPr>
          <w:lang w:bidi="ar-EG"/>
        </w:rPr>
        <w:t xml:space="preserve">, vol. II Ante-Nicene Christianity, Eerdmans Publishing Company, Grand Rapids, Michigan, </w:t>
      </w:r>
      <w:r w:rsidR="001039AB">
        <w:rPr>
          <w:lang w:bidi="ar-EG"/>
        </w:rPr>
        <w:t xml:space="preserve">USA 1987, </w:t>
      </w:r>
      <w:r>
        <w:rPr>
          <w:lang w:bidi="ar-EG"/>
        </w:rPr>
        <w:t>p. 185.</w:t>
      </w:r>
    </w:p>
  </w:footnote>
  <w:footnote w:id="5">
    <w:p w:rsidR="007915AF" w:rsidRDefault="007915AF" w:rsidP="007915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bidi="ar-EG"/>
        </w:rPr>
        <w:t>Ibid., p. 185.</w:t>
      </w:r>
    </w:p>
  </w:footnote>
  <w:footnote w:id="6">
    <w:p w:rsidR="00B96886" w:rsidRDefault="00B96886" w:rsidP="007915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915AF">
        <w:rPr>
          <w:lang w:bidi="ar-EG"/>
        </w:rPr>
        <w:t>Ibid.</w:t>
      </w:r>
      <w:r>
        <w:rPr>
          <w:lang w:bidi="ar-EG"/>
        </w:rPr>
        <w:t xml:space="preserve">, </w:t>
      </w:r>
      <w:r w:rsidR="007915AF">
        <w:rPr>
          <w:lang w:bidi="ar-EG"/>
        </w:rPr>
        <w:t xml:space="preserve">p. </w:t>
      </w:r>
      <w:r>
        <w:rPr>
          <w:lang w:bidi="ar-EG"/>
        </w:rPr>
        <w:t>186.</w:t>
      </w:r>
    </w:p>
  </w:footnote>
  <w:footnote w:id="7">
    <w:p w:rsidR="000E1C39" w:rsidRDefault="000E1C39" w:rsidP="00775DEE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t xml:space="preserve"> </w:t>
      </w:r>
      <w:r w:rsidR="00775DEE">
        <w:rPr>
          <w:lang w:bidi="ar-EG"/>
        </w:rPr>
        <w:t>AN Fathers, vol. VII</w:t>
      </w:r>
      <w:r>
        <w:rPr>
          <w:lang w:bidi="ar-EG"/>
        </w:rPr>
        <w:t>, p. 388.</w:t>
      </w:r>
    </w:p>
  </w:footnote>
  <w:footnote w:id="8">
    <w:p w:rsidR="00CF6A38" w:rsidRDefault="00CF6A38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t xml:space="preserve"> Cross, </w:t>
      </w:r>
      <w:r w:rsidRPr="0002525F">
        <w:rPr>
          <w:i/>
          <w:iCs/>
        </w:rPr>
        <w:t>The Oxford Dictionary of the Christian Church</w:t>
      </w:r>
      <w:r>
        <w:t>, Oxford University Press, p. 68.</w:t>
      </w:r>
    </w:p>
  </w:footnote>
  <w:footnote w:id="9">
    <w:p w:rsidR="000E1C39" w:rsidRDefault="000E1C39" w:rsidP="00CF6A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F6A38">
        <w:rPr>
          <w:lang w:bidi="ar-EG"/>
        </w:rPr>
        <w:t>AN Fathers, vol VII,</w:t>
      </w:r>
      <w:r>
        <w:rPr>
          <w:lang w:bidi="ar-EG"/>
        </w:rPr>
        <w:t xml:space="preserve"> p. 389.</w:t>
      </w:r>
    </w:p>
  </w:footnote>
  <w:footnote w:id="10">
    <w:p w:rsidR="00CC1FE8" w:rsidRDefault="00CC1FE8" w:rsidP="00CC1FE8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ar-EG"/>
        </w:rPr>
        <w:t>Ibid. p. 389.</w:t>
      </w:r>
    </w:p>
  </w:footnote>
  <w:footnote w:id="11">
    <w:p w:rsidR="00CC1FE8" w:rsidRDefault="00CC1FE8">
      <w:pPr>
        <w:pStyle w:val="FootnoteText"/>
      </w:pPr>
      <w:r>
        <w:rPr>
          <w:rStyle w:val="FootnoteReference"/>
        </w:rPr>
        <w:footnoteRef/>
      </w:r>
      <w:r>
        <w:t xml:space="preserve"> Cross, </w:t>
      </w:r>
      <w:r w:rsidRPr="0002525F">
        <w:rPr>
          <w:i/>
          <w:iCs/>
        </w:rPr>
        <w:t>The Oxford Dictionary of the Christian Church</w:t>
      </w:r>
      <w:r>
        <w:t>, Oxford University Press, p. 779.</w:t>
      </w:r>
    </w:p>
  </w:footnote>
  <w:footnote w:id="12">
    <w:p w:rsidR="004D2FA5" w:rsidRDefault="004D2FA5" w:rsidP="004D2FA5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ar-EG"/>
        </w:rPr>
        <w:t>Ibid. p. 778.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1C9"/>
    <w:multiLevelType w:val="hybridMultilevel"/>
    <w:tmpl w:val="0E949030"/>
    <w:lvl w:ilvl="0" w:tplc="947A8620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21EB7"/>
    <w:multiLevelType w:val="hybridMultilevel"/>
    <w:tmpl w:val="2C90F050"/>
    <w:lvl w:ilvl="0" w:tplc="947A8620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142D2"/>
    <w:multiLevelType w:val="hybridMultilevel"/>
    <w:tmpl w:val="CBA07192"/>
    <w:lvl w:ilvl="0" w:tplc="2E98EF9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E44AF"/>
    <w:multiLevelType w:val="hybridMultilevel"/>
    <w:tmpl w:val="5CC69E4C"/>
    <w:lvl w:ilvl="0" w:tplc="947A8620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D4A99"/>
    <w:multiLevelType w:val="hybridMultilevel"/>
    <w:tmpl w:val="79CE5746"/>
    <w:lvl w:ilvl="0" w:tplc="C4101F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5052E"/>
    <w:multiLevelType w:val="hybridMultilevel"/>
    <w:tmpl w:val="E62CCA88"/>
    <w:lvl w:ilvl="0" w:tplc="947A8620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644"/>
    <w:rsid w:val="0002525F"/>
    <w:rsid w:val="000362C5"/>
    <w:rsid w:val="00065300"/>
    <w:rsid w:val="00084E99"/>
    <w:rsid w:val="000E1C39"/>
    <w:rsid w:val="000E52F6"/>
    <w:rsid w:val="000F0ECA"/>
    <w:rsid w:val="001039AB"/>
    <w:rsid w:val="00210D65"/>
    <w:rsid w:val="002D285A"/>
    <w:rsid w:val="00305EF5"/>
    <w:rsid w:val="00316E1A"/>
    <w:rsid w:val="0035157D"/>
    <w:rsid w:val="003D4644"/>
    <w:rsid w:val="003E65B7"/>
    <w:rsid w:val="00401E6F"/>
    <w:rsid w:val="004236B1"/>
    <w:rsid w:val="00497A42"/>
    <w:rsid w:val="004A313B"/>
    <w:rsid w:val="004A578E"/>
    <w:rsid w:val="004D2FA5"/>
    <w:rsid w:val="00504ABA"/>
    <w:rsid w:val="005A3AAF"/>
    <w:rsid w:val="00646540"/>
    <w:rsid w:val="006E53C0"/>
    <w:rsid w:val="007679CA"/>
    <w:rsid w:val="007758E3"/>
    <w:rsid w:val="00775DEE"/>
    <w:rsid w:val="007818A2"/>
    <w:rsid w:val="007915AF"/>
    <w:rsid w:val="007B01C4"/>
    <w:rsid w:val="007D65AE"/>
    <w:rsid w:val="007F4B0E"/>
    <w:rsid w:val="00810C2A"/>
    <w:rsid w:val="008317BD"/>
    <w:rsid w:val="009135D4"/>
    <w:rsid w:val="00966B44"/>
    <w:rsid w:val="00966E12"/>
    <w:rsid w:val="009A163D"/>
    <w:rsid w:val="009D7BD4"/>
    <w:rsid w:val="009E15B5"/>
    <w:rsid w:val="00A02064"/>
    <w:rsid w:val="00A7792D"/>
    <w:rsid w:val="00A9168F"/>
    <w:rsid w:val="00AB6E1B"/>
    <w:rsid w:val="00B03263"/>
    <w:rsid w:val="00B3526E"/>
    <w:rsid w:val="00B4100A"/>
    <w:rsid w:val="00B47C54"/>
    <w:rsid w:val="00B64874"/>
    <w:rsid w:val="00B7473A"/>
    <w:rsid w:val="00B96886"/>
    <w:rsid w:val="00B96F8A"/>
    <w:rsid w:val="00BB47CD"/>
    <w:rsid w:val="00BF008E"/>
    <w:rsid w:val="00C149FD"/>
    <w:rsid w:val="00C35CE7"/>
    <w:rsid w:val="00C95334"/>
    <w:rsid w:val="00CB56D2"/>
    <w:rsid w:val="00CC1FE8"/>
    <w:rsid w:val="00CD456D"/>
    <w:rsid w:val="00CF6A38"/>
    <w:rsid w:val="00D83111"/>
    <w:rsid w:val="00DA5369"/>
    <w:rsid w:val="00DE4E8D"/>
    <w:rsid w:val="00DF184C"/>
    <w:rsid w:val="00DF2394"/>
    <w:rsid w:val="00E967B3"/>
    <w:rsid w:val="00EF4855"/>
    <w:rsid w:val="00FD30AA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Simplified Arabic"/>
        <w:sz w:val="2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6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5C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C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5CE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317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7BD"/>
  </w:style>
  <w:style w:type="paragraph" w:styleId="Footer">
    <w:name w:val="footer"/>
    <w:basedOn w:val="Normal"/>
    <w:link w:val="FooterChar"/>
    <w:uiPriority w:val="99"/>
    <w:unhideWhenUsed/>
    <w:rsid w:val="008317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Demiana</dc:creator>
  <cp:lastModifiedBy>Demiana</cp:lastModifiedBy>
  <cp:revision>13</cp:revision>
  <cp:lastPrinted>2012-05-12T21:32:00Z</cp:lastPrinted>
  <dcterms:created xsi:type="dcterms:W3CDTF">2012-05-11T14:54:00Z</dcterms:created>
  <dcterms:modified xsi:type="dcterms:W3CDTF">2012-07-15T13:22:00Z</dcterms:modified>
</cp:coreProperties>
</file>