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A2" w:rsidRDefault="00D938A2" w:rsidP="00D938A2">
      <w:pPr>
        <w:spacing w:after="120"/>
        <w:jc w:val="center"/>
        <w:rPr>
          <w:b/>
          <w:bCs/>
          <w:sz w:val="32"/>
          <w:szCs w:val="32"/>
        </w:rPr>
      </w:pPr>
      <w:proofErr w:type="spellStart"/>
      <w:r w:rsidRPr="00125085">
        <w:rPr>
          <w:b/>
          <w:bCs/>
          <w:sz w:val="32"/>
          <w:szCs w:val="32"/>
        </w:rPr>
        <w:t>Physis</w:t>
      </w:r>
      <w:proofErr w:type="spellEnd"/>
      <w:r w:rsidRPr="00125085">
        <w:rPr>
          <w:b/>
          <w:bCs/>
          <w:sz w:val="32"/>
          <w:szCs w:val="32"/>
        </w:rPr>
        <w:t xml:space="preserve"> and Hypostasis</w:t>
      </w:r>
    </w:p>
    <w:p w:rsidR="00BE6970" w:rsidRPr="00125085" w:rsidRDefault="00BE6970" w:rsidP="00D938A2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the Writings of St. Cyril of Alexandria</w:t>
      </w:r>
    </w:p>
    <w:p w:rsidR="00125085" w:rsidRPr="00125085" w:rsidRDefault="00125085" w:rsidP="00125085">
      <w:pPr>
        <w:pStyle w:val="Title"/>
        <w:ind w:left="4320"/>
        <w:jc w:val="left"/>
        <w:rPr>
          <w:sz w:val="24"/>
          <w:szCs w:val="24"/>
        </w:rPr>
      </w:pPr>
      <w:r w:rsidRPr="00125085">
        <w:rPr>
          <w:sz w:val="24"/>
          <w:szCs w:val="24"/>
        </w:rPr>
        <w:t>By Metropolitan Bishoy of Damiette</w:t>
      </w:r>
    </w:p>
    <w:p w:rsidR="00125085" w:rsidRPr="00125085" w:rsidRDefault="00125085" w:rsidP="00EA5079">
      <w:pPr>
        <w:pStyle w:val="Title"/>
        <w:ind w:left="4320"/>
        <w:jc w:val="left"/>
        <w:rPr>
          <w:sz w:val="24"/>
          <w:szCs w:val="24"/>
        </w:rPr>
      </w:pPr>
      <w:r w:rsidRPr="00125085">
        <w:rPr>
          <w:sz w:val="24"/>
          <w:szCs w:val="24"/>
        </w:rPr>
        <w:t>Co</w:t>
      </w:r>
      <w:r w:rsidR="00EA5079" w:rsidRPr="00125085">
        <w:rPr>
          <w:sz w:val="24"/>
          <w:szCs w:val="24"/>
        </w:rPr>
        <w:t>p</w:t>
      </w:r>
      <w:r w:rsidRPr="00125085">
        <w:rPr>
          <w:sz w:val="24"/>
          <w:szCs w:val="24"/>
        </w:rPr>
        <w:t xml:space="preserve">tic Orthodox Church </w:t>
      </w:r>
    </w:p>
    <w:p w:rsidR="00D938A2" w:rsidRPr="00D938A2" w:rsidRDefault="00D938A2" w:rsidP="00D938A2">
      <w:pPr>
        <w:spacing w:after="120"/>
        <w:jc w:val="center"/>
        <w:rPr>
          <w:b/>
          <w:bCs/>
          <w:sz w:val="26"/>
          <w:szCs w:val="26"/>
        </w:rPr>
      </w:pPr>
    </w:p>
    <w:p w:rsidR="00D938A2" w:rsidRDefault="00BE6970" w:rsidP="00BE6970">
      <w:pPr>
        <w:spacing w:after="120"/>
        <w:jc w:val="both"/>
        <w:rPr>
          <w:sz w:val="26"/>
          <w:szCs w:val="26"/>
          <w:lang w:bidi="ar-EG"/>
        </w:rPr>
      </w:pPr>
      <w:r>
        <w:rPr>
          <w:sz w:val="26"/>
          <w:szCs w:val="26"/>
        </w:rPr>
        <w:t>It</w:t>
      </w:r>
      <w:r w:rsidR="00D938A2">
        <w:rPr>
          <w:sz w:val="26"/>
          <w:szCs w:val="26"/>
        </w:rPr>
        <w:t xml:space="preserve"> </w:t>
      </w:r>
      <w:r>
        <w:rPr>
          <w:sz w:val="26"/>
          <w:szCs w:val="26"/>
        </w:rPr>
        <w:t>is</w:t>
      </w:r>
      <w:r w:rsidR="00D938A2">
        <w:rPr>
          <w:sz w:val="26"/>
          <w:szCs w:val="26"/>
        </w:rPr>
        <w:t xml:space="preserve"> necessary to clarify or to respond to the concept raised by some Orthodox theologians that the terms </w:t>
      </w:r>
      <w:proofErr w:type="spellStart"/>
      <w:r w:rsidR="00D938A2">
        <w:rPr>
          <w:sz w:val="26"/>
          <w:szCs w:val="26"/>
        </w:rPr>
        <w:t>physis</w:t>
      </w:r>
      <w:proofErr w:type="spellEnd"/>
      <w:r w:rsidR="00D938A2">
        <w:rPr>
          <w:sz w:val="26"/>
          <w:szCs w:val="26"/>
        </w:rPr>
        <w:t xml:space="preserve"> (</w:t>
      </w:r>
      <w:proofErr w:type="spellStart"/>
      <w:r w:rsidR="00D938A2">
        <w:rPr>
          <w:rFonts w:ascii="Bwgrkn" w:hAnsi="Bwgrkn"/>
          <w:sz w:val="26"/>
          <w:szCs w:val="26"/>
          <w:lang w:bidi="ar-EG"/>
        </w:rPr>
        <w:t>fu</w:t>
      </w:r>
      <w:proofErr w:type="gramStart"/>
      <w:r w:rsidR="00D938A2">
        <w:rPr>
          <w:rFonts w:ascii="Bwgrkn" w:hAnsi="Bwgrkn"/>
          <w:sz w:val="26"/>
          <w:szCs w:val="26"/>
          <w:lang w:bidi="ar-EG"/>
        </w:rPr>
        <w:t>,sij</w:t>
      </w:r>
      <w:proofErr w:type="spellEnd"/>
      <w:proofErr w:type="gramEnd"/>
      <w:r w:rsidR="00D938A2" w:rsidRPr="009140BE">
        <w:rPr>
          <w:rFonts w:cstheme="majorBidi"/>
          <w:sz w:val="26"/>
          <w:szCs w:val="26"/>
          <w:lang w:bidi="ar-EG"/>
        </w:rPr>
        <w:t>)</w:t>
      </w:r>
      <w:r w:rsidR="00D938A2">
        <w:rPr>
          <w:rFonts w:ascii="Bwgrkn" w:hAnsi="Bwgrkn"/>
          <w:sz w:val="26"/>
          <w:szCs w:val="26"/>
          <w:lang w:bidi="ar-EG"/>
        </w:rPr>
        <w:t xml:space="preserve"> </w:t>
      </w:r>
      <w:r w:rsidR="00D938A2" w:rsidRPr="00A35A3A">
        <w:rPr>
          <w:sz w:val="26"/>
          <w:szCs w:val="26"/>
        </w:rPr>
        <w:t>and hypostasis</w:t>
      </w:r>
      <w:r w:rsidR="00D938A2">
        <w:rPr>
          <w:rFonts w:ascii="Bwgrkn" w:hAnsi="Bwgrkn"/>
          <w:sz w:val="26"/>
          <w:szCs w:val="26"/>
          <w:lang w:bidi="ar-EG"/>
        </w:rPr>
        <w:t xml:space="preserve"> </w:t>
      </w:r>
      <w:r w:rsidR="00D938A2" w:rsidRPr="009140BE">
        <w:rPr>
          <w:sz w:val="26"/>
          <w:szCs w:val="26"/>
          <w:lang w:bidi="ar-EG"/>
        </w:rPr>
        <w:t>(</w:t>
      </w:r>
      <w:proofErr w:type="spellStart"/>
      <w:r w:rsidR="00D938A2">
        <w:rPr>
          <w:rFonts w:ascii="Bwgrkn" w:hAnsi="Bwgrkn"/>
          <w:sz w:val="26"/>
          <w:szCs w:val="26"/>
          <w:lang w:bidi="ar-EG"/>
        </w:rPr>
        <w:t>u`po,stasij</w:t>
      </w:r>
      <w:proofErr w:type="spellEnd"/>
      <w:r w:rsidR="00D938A2">
        <w:rPr>
          <w:sz w:val="26"/>
          <w:szCs w:val="26"/>
          <w:lang w:bidi="ar-EG"/>
        </w:rPr>
        <w:t>)</w:t>
      </w:r>
      <w:r w:rsidR="00D938A2">
        <w:rPr>
          <w:rFonts w:ascii="Bwgrkn" w:hAnsi="Bwgrkn"/>
          <w:sz w:val="26"/>
          <w:szCs w:val="26"/>
          <w:lang w:bidi="ar-EG"/>
        </w:rPr>
        <w:t xml:space="preserve"> </w:t>
      </w:r>
      <w:r w:rsidR="00D938A2">
        <w:rPr>
          <w:sz w:val="26"/>
          <w:szCs w:val="26"/>
          <w:lang w:bidi="ar-EG"/>
        </w:rPr>
        <w:t>are synonymous  in the writings and teachings of Saint Cyril of Alexandria.</w:t>
      </w:r>
    </w:p>
    <w:p w:rsidR="00D938A2" w:rsidRDefault="00D938A2" w:rsidP="00D938A2">
      <w:pPr>
        <w:spacing w:after="120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 xml:space="preserve">The Oriental Orthodox </w:t>
      </w:r>
      <w:proofErr w:type="gramStart"/>
      <w:r>
        <w:rPr>
          <w:sz w:val="26"/>
          <w:szCs w:val="26"/>
          <w:lang w:bidi="ar-EG"/>
        </w:rPr>
        <w:t>do</w:t>
      </w:r>
      <w:proofErr w:type="gramEnd"/>
      <w:r>
        <w:rPr>
          <w:sz w:val="26"/>
          <w:szCs w:val="26"/>
          <w:lang w:bidi="ar-EG"/>
        </w:rPr>
        <w:t xml:space="preserve"> not see that Saint Cyril used the two terms interchangeably. We can see that very clearly in the letter of Saint Cyril to Valerian Bishop of </w:t>
      </w:r>
      <w:proofErr w:type="spellStart"/>
      <w:r>
        <w:rPr>
          <w:sz w:val="26"/>
          <w:szCs w:val="26"/>
          <w:lang w:bidi="ar-EG"/>
        </w:rPr>
        <w:t>Iconium</w:t>
      </w:r>
      <w:proofErr w:type="spellEnd"/>
      <w:r>
        <w:rPr>
          <w:sz w:val="26"/>
          <w:szCs w:val="26"/>
          <w:lang w:bidi="ar-EG"/>
        </w:rPr>
        <w:t xml:space="preserve">: </w:t>
      </w:r>
    </w:p>
    <w:p w:rsidR="00D938A2" w:rsidRDefault="00D938A2" w:rsidP="00BE6970">
      <w:pPr>
        <w:pStyle w:val="BodyText"/>
        <w:spacing w:after="120"/>
        <w:ind w:left="720"/>
        <w:jc w:val="both"/>
        <w:rPr>
          <w:sz w:val="26"/>
          <w:szCs w:val="26"/>
          <w:lang w:bidi="ar-EG"/>
        </w:rPr>
      </w:pPr>
      <w:r>
        <w:rPr>
          <w:sz w:val="26"/>
          <w:szCs w:val="32"/>
          <w:lang w:val="en-GB" w:eastAsia="en-GB"/>
        </w:rPr>
        <w:t>“</w:t>
      </w:r>
      <w:r>
        <w:rPr>
          <w:i/>
          <w:iCs/>
          <w:sz w:val="26"/>
          <w:szCs w:val="32"/>
          <w:lang w:val="en-GB" w:eastAsia="en-GB"/>
        </w:rPr>
        <w:t xml:space="preserve">If they should say that God and man by coming together in one constituted the one Christ with the </w:t>
      </w:r>
      <w:r w:rsidRPr="009D3455">
        <w:rPr>
          <w:i/>
          <w:iCs/>
          <w:sz w:val="26"/>
          <w:szCs w:val="32"/>
          <w:u w:val="single"/>
          <w:lang w:val="en-GB" w:eastAsia="en-GB"/>
        </w:rPr>
        <w:t>hypostasis of each</w:t>
      </w:r>
      <w:r>
        <w:rPr>
          <w:i/>
          <w:iCs/>
          <w:sz w:val="26"/>
          <w:szCs w:val="32"/>
          <w:lang w:val="en-GB" w:eastAsia="en-GB"/>
        </w:rPr>
        <w:t xml:space="preserve"> obviously preserved unblended but </w:t>
      </w:r>
      <w:r w:rsidRPr="009D3455">
        <w:rPr>
          <w:i/>
          <w:iCs/>
          <w:sz w:val="26"/>
          <w:szCs w:val="32"/>
          <w:u w:val="single"/>
          <w:lang w:val="en-GB" w:eastAsia="en-GB"/>
        </w:rPr>
        <w:t>distinguished by reason</w:t>
      </w:r>
      <w:r>
        <w:rPr>
          <w:i/>
          <w:iCs/>
          <w:sz w:val="26"/>
          <w:szCs w:val="32"/>
          <w:lang w:val="en-GB" w:eastAsia="en-GB"/>
        </w:rPr>
        <w:t>, it is possible to see that they are thinking and saying nothing accurate in this”,</w:t>
      </w:r>
      <w:r>
        <w:rPr>
          <w:rStyle w:val="FootnoteReference"/>
          <w:i/>
          <w:iCs/>
          <w:sz w:val="26"/>
          <w:szCs w:val="32"/>
          <w:lang w:val="en-GB" w:eastAsia="en-GB"/>
        </w:rPr>
        <w:footnoteReference w:id="1"/>
      </w:r>
      <w:r>
        <w:rPr>
          <w:i/>
          <w:iCs/>
          <w:sz w:val="26"/>
          <w:szCs w:val="32"/>
          <w:lang w:val="en-GB" w:eastAsia="en-GB"/>
        </w:rPr>
        <w:t xml:space="preserve"> </w:t>
      </w:r>
      <w:r>
        <w:rPr>
          <w:sz w:val="26"/>
          <w:szCs w:val="26"/>
          <w:lang w:bidi="ar-EG"/>
        </w:rPr>
        <w:t xml:space="preserve"> and Saint Cyril continued in the same letter saying “</w:t>
      </w:r>
      <w:r w:rsidRPr="00A35A3A">
        <w:rPr>
          <w:i/>
          <w:iCs/>
          <w:sz w:val="26"/>
          <w:szCs w:val="26"/>
          <w:lang w:bidi="ar-EG"/>
        </w:rPr>
        <w:t>For if they pretend to say there</w:t>
      </w:r>
      <w:r>
        <w:rPr>
          <w:i/>
          <w:iCs/>
          <w:sz w:val="26"/>
          <w:szCs w:val="26"/>
          <w:lang w:bidi="ar-EG"/>
        </w:rPr>
        <w:t xml:space="preserve"> </w:t>
      </w:r>
      <w:r w:rsidRPr="00A35A3A">
        <w:rPr>
          <w:i/>
          <w:iCs/>
          <w:sz w:val="26"/>
          <w:szCs w:val="26"/>
          <w:lang w:bidi="ar-EG"/>
        </w:rPr>
        <w:t xml:space="preserve">is one person of Christ, while there are two </w:t>
      </w:r>
      <w:proofErr w:type="spellStart"/>
      <w:r w:rsidRPr="00A35A3A">
        <w:rPr>
          <w:i/>
          <w:iCs/>
          <w:sz w:val="26"/>
          <w:szCs w:val="26"/>
          <w:lang w:bidi="ar-EG"/>
        </w:rPr>
        <w:t>Hypostaseis</w:t>
      </w:r>
      <w:proofErr w:type="spellEnd"/>
      <w:r w:rsidRPr="00A35A3A">
        <w:rPr>
          <w:i/>
          <w:iCs/>
          <w:sz w:val="26"/>
          <w:szCs w:val="26"/>
          <w:lang w:bidi="ar-EG"/>
        </w:rPr>
        <w:t xml:space="preserve"> separate and distinct, by all means there will be two persons also.</w:t>
      </w:r>
      <w:r>
        <w:rPr>
          <w:sz w:val="26"/>
          <w:szCs w:val="26"/>
          <w:lang w:bidi="ar-EG"/>
        </w:rPr>
        <w:t>”</w:t>
      </w:r>
      <w:r>
        <w:rPr>
          <w:rStyle w:val="FootnoteReference"/>
          <w:sz w:val="26"/>
          <w:szCs w:val="26"/>
          <w:lang w:bidi="ar-EG"/>
        </w:rPr>
        <w:footnoteReference w:id="2"/>
      </w:r>
    </w:p>
    <w:p w:rsidR="00D938A2" w:rsidRDefault="00D938A2" w:rsidP="00BE6970">
      <w:pPr>
        <w:pStyle w:val="BodyText"/>
        <w:spacing w:after="120" w:line="312" w:lineRule="auto"/>
        <w:jc w:val="both"/>
        <w:rPr>
          <w:sz w:val="26"/>
          <w:szCs w:val="26"/>
          <w:lang w:bidi="ar-EG"/>
        </w:rPr>
      </w:pPr>
      <w:r w:rsidRPr="00BE6970">
        <w:rPr>
          <w:rFonts w:asciiTheme="minorHAnsi" w:eastAsiaTheme="minorHAnsi" w:hAnsiTheme="minorHAnsi" w:cstheme="minorBidi"/>
          <w:sz w:val="26"/>
          <w:szCs w:val="26"/>
          <w:lang w:eastAsia="en-US" w:bidi="ar-EG"/>
        </w:rPr>
        <w:t xml:space="preserve">It is clear that for Saint Cyril two hypostasis would mean two persons, that </w:t>
      </w:r>
      <w:proofErr w:type="gramStart"/>
      <w:r w:rsidRPr="00BE6970">
        <w:rPr>
          <w:rFonts w:asciiTheme="minorHAnsi" w:eastAsiaTheme="minorHAnsi" w:hAnsiTheme="minorHAnsi" w:cstheme="minorBidi"/>
          <w:sz w:val="26"/>
          <w:szCs w:val="26"/>
          <w:lang w:eastAsia="en-US" w:bidi="ar-EG"/>
        </w:rPr>
        <w:t>is</w:t>
      </w:r>
      <w:proofErr w:type="gramEnd"/>
      <w:r w:rsidRPr="00BE6970">
        <w:rPr>
          <w:rFonts w:asciiTheme="minorHAnsi" w:eastAsiaTheme="minorHAnsi" w:hAnsiTheme="minorHAnsi" w:cstheme="minorBidi"/>
          <w:sz w:val="26"/>
          <w:szCs w:val="26"/>
          <w:lang w:eastAsia="en-US" w:bidi="ar-EG"/>
        </w:rPr>
        <w:t xml:space="preserve"> why he refused that the two hypostasis </w:t>
      </w:r>
      <w:bookmarkStart w:id="0" w:name="_GoBack"/>
      <w:bookmarkEnd w:id="0"/>
      <w:r w:rsidRPr="00BE6970">
        <w:rPr>
          <w:rFonts w:asciiTheme="minorHAnsi" w:eastAsiaTheme="minorHAnsi" w:hAnsiTheme="minorHAnsi" w:cstheme="minorBidi"/>
          <w:sz w:val="26"/>
          <w:szCs w:val="26"/>
          <w:lang w:eastAsia="en-US" w:bidi="ar-EG"/>
        </w:rPr>
        <w:t xml:space="preserve">ever to be “distinguished by reason”, while he accepted that for the two natures to be distinguished by reason as written in his letter to </w:t>
      </w:r>
      <w:proofErr w:type="spellStart"/>
      <w:r w:rsidRPr="00BE6970">
        <w:rPr>
          <w:rFonts w:asciiTheme="minorHAnsi" w:eastAsiaTheme="minorHAnsi" w:hAnsiTheme="minorHAnsi" w:cstheme="minorBidi"/>
          <w:sz w:val="26"/>
          <w:szCs w:val="26"/>
          <w:lang w:eastAsia="en-US" w:bidi="ar-EG"/>
        </w:rPr>
        <w:t>Acacius</w:t>
      </w:r>
      <w:proofErr w:type="spellEnd"/>
      <w:r w:rsidRPr="00BE6970">
        <w:rPr>
          <w:rFonts w:asciiTheme="minorHAnsi" w:eastAsiaTheme="minorHAnsi" w:hAnsiTheme="minorHAnsi" w:cstheme="minorBidi"/>
          <w:sz w:val="26"/>
          <w:szCs w:val="26"/>
          <w:lang w:eastAsia="en-US" w:bidi="ar-EG"/>
        </w:rPr>
        <w:t xml:space="preserve"> Bishop of </w:t>
      </w:r>
      <w:proofErr w:type="spellStart"/>
      <w:r w:rsidRPr="00BE6970">
        <w:rPr>
          <w:rFonts w:asciiTheme="minorHAnsi" w:eastAsiaTheme="minorHAnsi" w:hAnsiTheme="minorHAnsi" w:cstheme="minorBidi"/>
          <w:sz w:val="26"/>
          <w:szCs w:val="26"/>
          <w:lang w:eastAsia="en-US" w:bidi="ar-EG"/>
        </w:rPr>
        <w:t>Melitene</w:t>
      </w:r>
      <w:proofErr w:type="spellEnd"/>
      <w:r>
        <w:rPr>
          <w:sz w:val="26"/>
          <w:szCs w:val="26"/>
          <w:lang w:bidi="ar-EG"/>
        </w:rPr>
        <w:t xml:space="preserve">: </w:t>
      </w:r>
    </w:p>
    <w:p w:rsidR="00D938A2" w:rsidRDefault="00D938A2" w:rsidP="00BE6970">
      <w:pPr>
        <w:pStyle w:val="BodyText"/>
        <w:spacing w:after="120"/>
        <w:ind w:left="720" w:right="360"/>
        <w:rPr>
          <w:sz w:val="26"/>
          <w:szCs w:val="26"/>
          <w:lang w:bidi="ar-EG"/>
        </w:rPr>
      </w:pPr>
      <w:r>
        <w:rPr>
          <w:i/>
          <w:iCs/>
          <w:sz w:val="26"/>
          <w:szCs w:val="30"/>
          <w:lang w:val="en-GB" w:eastAsia="en-GB"/>
        </w:rPr>
        <w:t xml:space="preserve">“Wherefore, we say that the two natures were united, from which there is the </w:t>
      </w:r>
      <w:r>
        <w:rPr>
          <w:b/>
          <w:bCs/>
          <w:i/>
          <w:iCs/>
          <w:sz w:val="26"/>
          <w:szCs w:val="30"/>
          <w:lang w:val="en-GB" w:eastAsia="en-GB"/>
        </w:rPr>
        <w:t>one</w:t>
      </w:r>
      <w:r>
        <w:rPr>
          <w:i/>
          <w:iCs/>
          <w:sz w:val="26"/>
          <w:szCs w:val="30"/>
          <w:lang w:val="en-GB" w:eastAsia="en-GB"/>
        </w:rPr>
        <w:t xml:space="preserve"> and </w:t>
      </w:r>
      <w:r>
        <w:rPr>
          <w:b/>
          <w:bCs/>
          <w:i/>
          <w:iCs/>
          <w:sz w:val="26"/>
          <w:szCs w:val="30"/>
          <w:lang w:val="en-GB" w:eastAsia="en-GB"/>
        </w:rPr>
        <w:t>only</w:t>
      </w:r>
      <w:r>
        <w:rPr>
          <w:i/>
          <w:iCs/>
          <w:sz w:val="26"/>
          <w:szCs w:val="30"/>
          <w:lang w:val="en-GB" w:eastAsia="en-GB"/>
        </w:rPr>
        <w:t xml:space="preserve"> Son and Lord, Jesus Christ, </w:t>
      </w:r>
      <w:r>
        <w:rPr>
          <w:b/>
          <w:bCs/>
          <w:i/>
          <w:iCs/>
          <w:sz w:val="26"/>
          <w:szCs w:val="30"/>
          <w:lang w:val="en-GB" w:eastAsia="en-GB"/>
        </w:rPr>
        <w:t>as we accept in our thoughts</w:t>
      </w:r>
      <w:r>
        <w:rPr>
          <w:i/>
          <w:iCs/>
          <w:sz w:val="26"/>
          <w:szCs w:val="30"/>
          <w:lang w:val="en-GB" w:eastAsia="en-GB"/>
        </w:rPr>
        <w:t xml:space="preserve">; but </w:t>
      </w:r>
      <w:r>
        <w:rPr>
          <w:b/>
          <w:bCs/>
          <w:i/>
          <w:iCs/>
          <w:sz w:val="26"/>
          <w:szCs w:val="30"/>
          <w:lang w:val="en-GB" w:eastAsia="en-GB"/>
        </w:rPr>
        <w:t>after the union since the distinction into two is now done away with</w:t>
      </w:r>
      <w:r>
        <w:rPr>
          <w:i/>
          <w:iCs/>
          <w:sz w:val="26"/>
          <w:szCs w:val="30"/>
          <w:lang w:val="en-GB" w:eastAsia="en-GB"/>
        </w:rPr>
        <w:t xml:space="preserve">, we believe that, there is one </w:t>
      </w:r>
      <w:proofErr w:type="spellStart"/>
      <w:r>
        <w:rPr>
          <w:i/>
          <w:iCs/>
          <w:sz w:val="26"/>
          <w:szCs w:val="30"/>
          <w:lang w:val="en-GB" w:eastAsia="en-GB"/>
        </w:rPr>
        <w:t>physis</w:t>
      </w:r>
      <w:proofErr w:type="spellEnd"/>
      <w:r>
        <w:rPr>
          <w:i/>
          <w:iCs/>
          <w:sz w:val="26"/>
          <w:szCs w:val="30"/>
          <w:lang w:val="en-GB" w:eastAsia="en-GB"/>
        </w:rPr>
        <w:t xml:space="preserve"> of the Son.”</w:t>
      </w:r>
      <w:r>
        <w:rPr>
          <w:rStyle w:val="FootnoteReference"/>
          <w:i/>
          <w:iCs/>
          <w:sz w:val="26"/>
          <w:szCs w:val="30"/>
          <w:lang w:val="en-GB" w:eastAsia="en-GB"/>
        </w:rPr>
        <w:footnoteReference w:id="3"/>
      </w:r>
    </w:p>
    <w:p w:rsidR="00D938A2" w:rsidRPr="00A35A3A" w:rsidRDefault="00D938A2" w:rsidP="00D938A2">
      <w:pPr>
        <w:spacing w:after="120"/>
        <w:jc w:val="both"/>
        <w:rPr>
          <w:sz w:val="26"/>
          <w:szCs w:val="26"/>
          <w:rtl/>
          <w:lang w:bidi="ar-EG"/>
        </w:rPr>
      </w:pPr>
      <w:r>
        <w:rPr>
          <w:sz w:val="26"/>
          <w:szCs w:val="26"/>
          <w:lang w:bidi="ar-EG"/>
        </w:rPr>
        <w:t xml:space="preserve">No way to say that for Saint Cyril </w:t>
      </w:r>
      <w:proofErr w:type="spellStart"/>
      <w:r w:rsidRPr="009D3455">
        <w:rPr>
          <w:i/>
          <w:iCs/>
          <w:sz w:val="26"/>
          <w:szCs w:val="26"/>
          <w:lang w:bidi="ar-EG"/>
        </w:rPr>
        <w:t>Physis</w:t>
      </w:r>
      <w:proofErr w:type="spellEnd"/>
      <w:r>
        <w:rPr>
          <w:sz w:val="26"/>
          <w:szCs w:val="26"/>
          <w:lang w:bidi="ar-EG"/>
        </w:rPr>
        <w:t xml:space="preserve"> can replace </w:t>
      </w:r>
      <w:r w:rsidRPr="009D3455">
        <w:rPr>
          <w:i/>
          <w:iCs/>
          <w:sz w:val="26"/>
          <w:szCs w:val="26"/>
          <w:lang w:bidi="ar-EG"/>
        </w:rPr>
        <w:t>Hypostasis</w:t>
      </w:r>
      <w:r>
        <w:rPr>
          <w:sz w:val="26"/>
          <w:szCs w:val="26"/>
          <w:lang w:bidi="ar-EG"/>
        </w:rPr>
        <w:t xml:space="preserve"> and vice versa. He always by “Hypostasis” means personalized nature i.e. the person together with the nature which he processes. </w:t>
      </w:r>
      <w:r>
        <w:rPr>
          <w:rFonts w:ascii="Bwgrkn" w:hAnsi="Bwgrkn"/>
          <w:sz w:val="26"/>
          <w:szCs w:val="26"/>
          <w:lang w:bidi="ar-EG"/>
        </w:rPr>
        <w:t xml:space="preserve"> </w:t>
      </w:r>
    </w:p>
    <w:p w:rsidR="00B45490" w:rsidRDefault="00B45490">
      <w:pPr>
        <w:rPr>
          <w:lang w:bidi="ar-EG"/>
        </w:rPr>
      </w:pPr>
    </w:p>
    <w:sectPr w:rsidR="00B45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09" w:rsidRDefault="00F76A09" w:rsidP="00D938A2">
      <w:pPr>
        <w:spacing w:after="0" w:line="240" w:lineRule="auto"/>
      </w:pPr>
      <w:r>
        <w:separator/>
      </w:r>
    </w:p>
  </w:endnote>
  <w:endnote w:type="continuationSeparator" w:id="0">
    <w:p w:rsidR="00F76A09" w:rsidRDefault="00F76A09" w:rsidP="00D9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wgrkn">
    <w:panose1 w:val="02000000000000000000"/>
    <w:charset w:val="00"/>
    <w:family w:val="auto"/>
    <w:pitch w:val="variable"/>
    <w:sig w:usb0="A0000027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09" w:rsidRDefault="00F76A09" w:rsidP="00D938A2">
      <w:pPr>
        <w:spacing w:after="0" w:line="240" w:lineRule="auto"/>
      </w:pPr>
      <w:r>
        <w:separator/>
      </w:r>
    </w:p>
  </w:footnote>
  <w:footnote w:type="continuationSeparator" w:id="0">
    <w:p w:rsidR="00F76A09" w:rsidRDefault="00F76A09" w:rsidP="00D938A2">
      <w:pPr>
        <w:spacing w:after="0" w:line="240" w:lineRule="auto"/>
      </w:pPr>
      <w:r>
        <w:continuationSeparator/>
      </w:r>
    </w:p>
  </w:footnote>
  <w:footnote w:id="1">
    <w:p w:rsidR="00D938A2" w:rsidRDefault="00D938A2" w:rsidP="00D938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Saint Cyril of Alexandria, Letter 40, par. 14, </w:t>
      </w:r>
      <w:r>
        <w:rPr>
          <w:i/>
          <w:iCs/>
        </w:rPr>
        <w:t>The Fathers of the Church</w:t>
      </w:r>
      <w:r>
        <w:t>, Volume 76, C.U.A., 1987, Letter 50 par. 5 p.214.</w:t>
      </w:r>
      <w:proofErr w:type="gramEnd"/>
    </w:p>
  </w:footnote>
  <w:footnote w:id="2">
    <w:p w:rsidR="00D938A2" w:rsidRDefault="00D938A2" w:rsidP="00D938A2">
      <w:pPr>
        <w:pStyle w:val="FootnoteText"/>
      </w:pPr>
      <w:r>
        <w:rPr>
          <w:rStyle w:val="FootnoteReference"/>
        </w:rPr>
        <w:footnoteRef/>
      </w:r>
      <w:r>
        <w:t xml:space="preserve"> Ibid. par. 28, p. 226.</w:t>
      </w:r>
    </w:p>
  </w:footnote>
  <w:footnote w:id="3">
    <w:p w:rsidR="00D938A2" w:rsidRDefault="00D938A2" w:rsidP="00D938A2">
      <w:pPr>
        <w:pStyle w:val="FootnoteText"/>
      </w:pPr>
      <w:r>
        <w:rPr>
          <w:rStyle w:val="FootnoteReference"/>
        </w:rPr>
        <w:footnoteRef/>
      </w:r>
      <w:r>
        <w:t xml:space="preserve"> Ibid, Letter 40, par. 14 p.160.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A2"/>
    <w:rsid w:val="00037CBF"/>
    <w:rsid w:val="00125085"/>
    <w:rsid w:val="002E53F4"/>
    <w:rsid w:val="005938B2"/>
    <w:rsid w:val="005E0E4F"/>
    <w:rsid w:val="005F19BC"/>
    <w:rsid w:val="0066050C"/>
    <w:rsid w:val="006A6AB7"/>
    <w:rsid w:val="0078570E"/>
    <w:rsid w:val="007C67AA"/>
    <w:rsid w:val="008003C6"/>
    <w:rsid w:val="00824A68"/>
    <w:rsid w:val="00B2550D"/>
    <w:rsid w:val="00B45490"/>
    <w:rsid w:val="00BE0907"/>
    <w:rsid w:val="00BE6970"/>
    <w:rsid w:val="00D24028"/>
    <w:rsid w:val="00D83007"/>
    <w:rsid w:val="00D938A2"/>
    <w:rsid w:val="00DE1DD8"/>
    <w:rsid w:val="00EA5079"/>
    <w:rsid w:val="00ED6850"/>
    <w:rsid w:val="00F55480"/>
    <w:rsid w:val="00F7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938A2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D938A2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D938A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938A2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D938A2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Title">
    <w:name w:val="Title"/>
    <w:basedOn w:val="Normal"/>
    <w:link w:val="TitleChar"/>
    <w:qFormat/>
    <w:rsid w:val="001250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25085"/>
    <w:rPr>
      <w:rFonts w:ascii="Times New Roman" w:eastAsia="Times New Roman" w:hAnsi="Times New Roman" w:cs="Times New Roman"/>
      <w:b/>
      <w:bCs/>
      <w:noProof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250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085"/>
  </w:style>
  <w:style w:type="paragraph" w:styleId="Footer">
    <w:name w:val="footer"/>
    <w:basedOn w:val="Normal"/>
    <w:link w:val="FooterChar"/>
    <w:uiPriority w:val="99"/>
    <w:unhideWhenUsed/>
    <w:rsid w:val="001250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085"/>
  </w:style>
  <w:style w:type="paragraph" w:styleId="BalloonText">
    <w:name w:val="Balloon Text"/>
    <w:basedOn w:val="Normal"/>
    <w:link w:val="BalloonTextChar"/>
    <w:uiPriority w:val="99"/>
    <w:semiHidden/>
    <w:unhideWhenUsed/>
    <w:rsid w:val="0012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938A2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D938A2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D938A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938A2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D938A2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Title">
    <w:name w:val="Title"/>
    <w:basedOn w:val="Normal"/>
    <w:link w:val="TitleChar"/>
    <w:qFormat/>
    <w:rsid w:val="001250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25085"/>
    <w:rPr>
      <w:rFonts w:ascii="Times New Roman" w:eastAsia="Times New Roman" w:hAnsi="Times New Roman" w:cs="Times New Roman"/>
      <w:b/>
      <w:bCs/>
      <w:noProof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250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085"/>
  </w:style>
  <w:style w:type="paragraph" w:styleId="Footer">
    <w:name w:val="footer"/>
    <w:basedOn w:val="Normal"/>
    <w:link w:val="FooterChar"/>
    <w:uiPriority w:val="99"/>
    <w:unhideWhenUsed/>
    <w:rsid w:val="001250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085"/>
  </w:style>
  <w:style w:type="paragraph" w:styleId="BalloonText">
    <w:name w:val="Balloon Text"/>
    <w:basedOn w:val="Normal"/>
    <w:link w:val="BalloonTextChar"/>
    <w:uiPriority w:val="99"/>
    <w:semiHidden/>
    <w:unhideWhenUsed/>
    <w:rsid w:val="0012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Demiana</dc:creator>
  <cp:lastModifiedBy>HP-PRODESK</cp:lastModifiedBy>
  <cp:revision>2</cp:revision>
  <cp:lastPrinted>2014-09-30T01:00:00Z</cp:lastPrinted>
  <dcterms:created xsi:type="dcterms:W3CDTF">2021-03-03T11:40:00Z</dcterms:created>
  <dcterms:modified xsi:type="dcterms:W3CDTF">2021-03-03T11:40:00Z</dcterms:modified>
</cp:coreProperties>
</file>